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98DF8" w14:textId="77777777" w:rsidR="001772AC" w:rsidRPr="00D11A8D" w:rsidRDefault="001772AC" w:rsidP="001772AC">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Pr>
          <w:rFonts w:ascii="Bookman Old Style" w:hAnsi="Bookman Old Style"/>
          <w:b/>
          <w:sz w:val="28"/>
          <w:szCs w:val="28"/>
        </w:rPr>
        <w:t>19-1373</w:t>
      </w:r>
    </w:p>
    <w:p w14:paraId="4F8829E6" w14:textId="77777777" w:rsidR="001772AC" w:rsidRPr="00D11A8D" w:rsidRDefault="001772AC" w:rsidP="001772AC">
      <w:pPr>
        <w:contextualSpacing/>
        <w:rPr>
          <w:rFonts w:ascii="Bookman Old Style" w:hAnsi="Bookman Old Style"/>
        </w:rPr>
      </w:pPr>
    </w:p>
    <w:p w14:paraId="35BC4F59" w14:textId="77777777" w:rsidR="001772AC" w:rsidRDefault="001772AC" w:rsidP="001772AC">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Pr>
          <w:rFonts w:ascii="Bookman Old Style" w:hAnsi="Bookman Old Style"/>
          <w:u w:val="single"/>
        </w:rPr>
        <w:t xml:space="preserve"> COMMON COUNCIL</w:t>
      </w:r>
      <w:r w:rsidRPr="00D11A8D">
        <w:rPr>
          <w:rFonts w:ascii="Bookman Old Style" w:hAnsi="Bookman Old Style"/>
          <w:u w:val="single"/>
        </w:rPr>
        <w:t xml:space="preserve"> </w:t>
      </w:r>
    </w:p>
    <w:p w14:paraId="143CC74D" w14:textId="77777777" w:rsidR="001772AC" w:rsidRPr="00D11A8D" w:rsidRDefault="001772AC" w:rsidP="001772AC">
      <w:pPr>
        <w:contextualSpacing/>
        <w:jc w:val="center"/>
        <w:rPr>
          <w:rFonts w:ascii="Bookman Old Style" w:hAnsi="Bookman Old Style"/>
          <w:u w:val="single"/>
        </w:rPr>
      </w:pPr>
      <w:r>
        <w:rPr>
          <w:rFonts w:ascii="Bookman Old Style" w:hAnsi="Bookman Old Style"/>
          <w:u w:val="single"/>
        </w:rPr>
        <w:t>AMENDING ORDINANCE G-00-1114 BY RESCINDING ORDINANCE G-00-1114 AND ADOPTING THE WITHIN ORDINANCE REESTABLISHING CRITERIA FOR THE REVIEW OF APPLICATIONS FOR ECONOMIC REVITALIZATION AREA DESIGNATION IN ITS PLACE</w:t>
      </w:r>
    </w:p>
    <w:p w14:paraId="7AB690C3" w14:textId="77777777" w:rsidR="001772AC" w:rsidRPr="00C92C5F" w:rsidRDefault="001772AC" w:rsidP="001772AC">
      <w:pPr>
        <w:widowControl w:val="0"/>
        <w:spacing w:line="360" w:lineRule="auto"/>
      </w:pPr>
    </w:p>
    <w:p w14:paraId="48DC8718"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 xml:space="preserve">WHEREAS, Indiana Code 6-1.1-12.1-1 </w:t>
      </w:r>
      <w:r w:rsidRPr="008968D3">
        <w:rPr>
          <w:rFonts w:ascii="Bookman Old Style" w:hAnsi="Bookman Old Style"/>
          <w:i/>
        </w:rPr>
        <w:t>et. seq.</w:t>
      </w:r>
      <w:r w:rsidRPr="008968D3">
        <w:rPr>
          <w:rFonts w:ascii="Bookman Old Style" w:hAnsi="Bookman Old Style"/>
        </w:rPr>
        <w:t>, authorizes certain deductions from the assessed value of certain real and personal property located within areas which have been designated as an Economic Revitalization Areas as defined by I.C. 6-1.1-12.1-1(1); and</w:t>
      </w:r>
    </w:p>
    <w:p w14:paraId="4F37801B"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WHEREAS, Indiana Code 6-1.1-12.1-2 authorizes a city council to designate Economic Revitalization Areas within a city; and</w:t>
      </w:r>
    </w:p>
    <w:p w14:paraId="1F3A643A"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 xml:space="preserve">WHEREAS, Indiana Code 6-1.1-12.1 allows real property tax deductions in an Economic Revitalization Area to be granted for any number of years less than or equal to ten years and personal property deductions in an Economic Revitalization Area to be granted for any number of years less than or equal to twenty years; and </w:t>
      </w:r>
    </w:p>
    <w:p w14:paraId="1E23C570"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WHEREAS, Indiana Code 6-1.1-12.1-2(g) provides that a city council may, by resolution, establish general standards to be used along with the requirements set forth in the definition of an Economic Revitalization Area as provided in I.C. 6-1.1-12.1-1(1) as may be amended, in finding specific real estate to be an Economic Revitalization Area; and</w:t>
      </w:r>
    </w:p>
    <w:p w14:paraId="5D5A0E49"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 xml:space="preserve">WHEREAS, Indiana Code 6-1.1-12.1-2(h) provides that an application fee </w:t>
      </w:r>
      <w:proofErr w:type="gramStart"/>
      <w:r w:rsidRPr="008968D3">
        <w:rPr>
          <w:rFonts w:ascii="Bookman Old Style" w:hAnsi="Bookman Old Style"/>
        </w:rPr>
        <w:t>sufficient</w:t>
      </w:r>
      <w:proofErr w:type="gramEnd"/>
      <w:r w:rsidRPr="008968D3">
        <w:rPr>
          <w:rFonts w:ascii="Bookman Old Style" w:hAnsi="Bookman Old Style"/>
        </w:rPr>
        <w:t xml:space="preserve"> to defray actual processing and administrative costs may be charged a person requesting the designation of a particular area as an Economic Revitalization Area; and </w:t>
      </w:r>
    </w:p>
    <w:p w14:paraId="62E2F3FD"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WHEREAS, Indiana Code 6-1.1-12.1-2.5 sets forth a minimum procedure that shall be followed by a city council in considering an application for designation of an Economic Revitalization Area; and</w:t>
      </w:r>
    </w:p>
    <w:p w14:paraId="37B71936"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 xml:space="preserve">WHEREAS, the Woodburn Common Council (the “Council”) recognizes the need </w:t>
      </w:r>
      <w:r w:rsidRPr="008968D3">
        <w:rPr>
          <w:rFonts w:ascii="Bookman Old Style" w:hAnsi="Bookman Old Style"/>
        </w:rPr>
        <w:lastRenderedPageBreak/>
        <w:t>to stimulate employment opportunities and to maintain a sound economy within its jurisdiction; and</w:t>
      </w:r>
    </w:p>
    <w:p w14:paraId="064F0077"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WHEREAS, the Council further recognizes that it would be beneficial to designate certain areas within the City of Woodburn (the “City”) as Economic Revitalization Areas for property tax abatement purposes; and</w:t>
      </w:r>
    </w:p>
    <w:p w14:paraId="1FD19286"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WHEREAS, the Council previously determined it would be advantageous to adopt the policies and procedures of Allen County, Indiana, and utilize the Allen County Department of Planning Services economic development division for the administration of the designation of Economic Revitalization Areas; and</w:t>
      </w:r>
    </w:p>
    <w:p w14:paraId="45EEE87C"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WHEREAS, the Council deems it necessary to reestablish and, in certain instances modify, the provisions of Ordinance G-00-1114 which sets forth the procedures for designating Economic Revitalization Areas and the granting of deductions from assessed valuation of real and/personal property.</w:t>
      </w:r>
    </w:p>
    <w:p w14:paraId="7959B3A9"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 xml:space="preserve">NOW, THEREFORE, BE IT ORDAINED BY THE COMMON COUNCIL OF THE CITY OF WOODBURN, INDIANA, </w:t>
      </w:r>
      <w:r w:rsidRPr="008968D3">
        <w:rPr>
          <w:rFonts w:ascii="Bookman Old Style" w:hAnsi="Bookman Old Style"/>
          <w:caps/>
        </w:rPr>
        <w:t>to-wit</w:t>
      </w:r>
      <w:r w:rsidRPr="008968D3">
        <w:rPr>
          <w:rFonts w:ascii="Bookman Old Style" w:hAnsi="Bookman Old Style"/>
        </w:rPr>
        <w:t>:</w:t>
      </w:r>
    </w:p>
    <w:p w14:paraId="014E59B4" w14:textId="77777777" w:rsidR="001772AC" w:rsidRPr="008968D3" w:rsidRDefault="001772AC" w:rsidP="001772AC">
      <w:pPr>
        <w:widowControl w:val="0"/>
        <w:jc w:val="both"/>
        <w:rPr>
          <w:rFonts w:ascii="Bookman Old Style" w:hAnsi="Bookman Old Style"/>
        </w:rPr>
      </w:pPr>
    </w:p>
    <w:p w14:paraId="35D3F2E2" w14:textId="77777777" w:rsidR="001772AC" w:rsidRPr="008968D3" w:rsidRDefault="001772AC" w:rsidP="001772AC">
      <w:pPr>
        <w:widowControl w:val="0"/>
        <w:spacing w:line="360" w:lineRule="auto"/>
        <w:jc w:val="both"/>
        <w:rPr>
          <w:rFonts w:ascii="Bookman Old Style" w:hAnsi="Bookman Old Style"/>
          <w:caps/>
        </w:rPr>
      </w:pPr>
      <w:r w:rsidRPr="008968D3">
        <w:rPr>
          <w:rFonts w:ascii="Bookman Old Style" w:hAnsi="Bookman Old Style"/>
          <w:caps/>
        </w:rPr>
        <w:t>SECTION 1.</w:t>
      </w:r>
      <w:r w:rsidRPr="008968D3">
        <w:rPr>
          <w:rFonts w:ascii="Bookman Old Style" w:hAnsi="Bookman Old Style"/>
          <w:caps/>
        </w:rPr>
        <w:tab/>
        <w:t>Application Procedures for Designating Economic Revitalization Areas</w:t>
      </w:r>
    </w:p>
    <w:p w14:paraId="1F198D30"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 xml:space="preserve">The Council, in accordance with I.C. 6-1.1-12.1 </w:t>
      </w:r>
      <w:r w:rsidRPr="008968D3">
        <w:rPr>
          <w:rFonts w:ascii="Bookman Old Style" w:hAnsi="Bookman Old Style"/>
          <w:i/>
        </w:rPr>
        <w:t>et. seq.</w:t>
      </w:r>
      <w:r w:rsidRPr="008968D3">
        <w:rPr>
          <w:rFonts w:ascii="Bookman Old Style" w:hAnsi="Bookman Old Style"/>
        </w:rPr>
        <w:t xml:space="preserve">, shall make available the opportunity to receive real estate and personal property tax abatement to qualifying applicants/taxpayers located within the corporate limits of the City, using the procedures established by this ordinance. </w:t>
      </w:r>
    </w:p>
    <w:p w14:paraId="324A3B8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w:t>
      </w:r>
      <w:r w:rsidRPr="008968D3">
        <w:rPr>
          <w:rFonts w:ascii="Bookman Old Style" w:hAnsi="Bookman Old Style"/>
        </w:rPr>
        <w:tab/>
        <w:t xml:space="preserve">The economic development division staff of the Allen County Department of Planning Services shall provide a formal application and Statement of Benefits (SB-1) form/s to interested parties.   </w:t>
      </w:r>
    </w:p>
    <w:p w14:paraId="64D9D898"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 xml:space="preserve">A proper deduction applicant/taxpayer shall initiate the process by filing a completed and signed application, along with a completed and signed Statement of Benefits (SB-1) form/s, with economic development staff.  </w:t>
      </w:r>
    </w:p>
    <w:p w14:paraId="14572E6A"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lastRenderedPageBreak/>
        <w:tab/>
        <w:t>(2)</w:t>
      </w:r>
      <w:r w:rsidRPr="008968D3">
        <w:rPr>
          <w:rFonts w:ascii="Bookman Old Style" w:hAnsi="Bookman Old Style"/>
        </w:rPr>
        <w:tab/>
        <w:t xml:space="preserve">The application shall be accompanied by the established filing fee.  </w:t>
      </w:r>
    </w:p>
    <w:p w14:paraId="6F9C614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r>
      <w:r w:rsidRPr="008968D3">
        <w:rPr>
          <w:rFonts w:ascii="Bookman Old Style" w:hAnsi="Bookman Old Style"/>
        </w:rPr>
        <w:tab/>
        <w:t>(a)</w:t>
      </w:r>
      <w:r w:rsidRPr="008968D3">
        <w:rPr>
          <w:rFonts w:ascii="Bookman Old Style" w:hAnsi="Bookman Old Style"/>
        </w:rPr>
        <w:tab/>
        <w:t>$500 for real or personal property deduction</w:t>
      </w:r>
    </w:p>
    <w:p w14:paraId="5D4C2F7D"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r>
      <w:r w:rsidRPr="008968D3">
        <w:rPr>
          <w:rFonts w:ascii="Bookman Old Style" w:hAnsi="Bookman Old Style"/>
        </w:rPr>
        <w:tab/>
        <w:t>(b)</w:t>
      </w:r>
      <w:r w:rsidRPr="008968D3">
        <w:rPr>
          <w:rFonts w:ascii="Bookman Old Style" w:hAnsi="Bookman Old Style"/>
        </w:rPr>
        <w:tab/>
        <w:t xml:space="preserve">$750 for both real and personal property deduction </w:t>
      </w:r>
    </w:p>
    <w:p w14:paraId="4EC6BAD5"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r>
      <w:r w:rsidRPr="008968D3">
        <w:rPr>
          <w:rFonts w:ascii="Bookman Old Style" w:hAnsi="Bookman Old Style"/>
        </w:rPr>
        <w:tab/>
        <w:t>(c)</w:t>
      </w:r>
      <w:r w:rsidRPr="008968D3">
        <w:rPr>
          <w:rFonts w:ascii="Bookman Old Style" w:hAnsi="Bookman Old Style"/>
        </w:rPr>
        <w:tab/>
        <w:t>$500 for vacant building deduction only</w:t>
      </w:r>
    </w:p>
    <w:p w14:paraId="38FA50DA"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(3)</w:t>
      </w:r>
      <w:r w:rsidRPr="008968D3">
        <w:rPr>
          <w:rFonts w:ascii="Bookman Old Style" w:hAnsi="Bookman Old Style"/>
        </w:rPr>
        <w:tab/>
        <w:t>Upon receipt of an application, the economic development staff shall:</w:t>
      </w:r>
    </w:p>
    <w:p w14:paraId="75FC7C01" w14:textId="77777777" w:rsidR="001772AC" w:rsidRPr="008968D3" w:rsidRDefault="001772AC" w:rsidP="001772AC">
      <w:pPr>
        <w:widowControl w:val="0"/>
        <w:spacing w:line="360" w:lineRule="auto"/>
        <w:ind w:left="720" w:firstLine="720"/>
        <w:jc w:val="both"/>
        <w:rPr>
          <w:rFonts w:ascii="Bookman Old Style" w:hAnsi="Bookman Old Style"/>
        </w:rPr>
      </w:pPr>
      <w:r w:rsidRPr="008968D3">
        <w:rPr>
          <w:rFonts w:ascii="Bookman Old Style" w:hAnsi="Bookman Old Style"/>
        </w:rPr>
        <w:t xml:space="preserve">(a)  </w:t>
      </w:r>
      <w:r w:rsidRPr="008968D3">
        <w:rPr>
          <w:rFonts w:ascii="Bookman Old Style" w:hAnsi="Bookman Old Style"/>
        </w:rPr>
        <w:tab/>
        <w:t xml:space="preserve">note the date of filing on the application </w:t>
      </w:r>
    </w:p>
    <w:p w14:paraId="722E3722"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(b) </w:t>
      </w:r>
      <w:r w:rsidRPr="008968D3">
        <w:rPr>
          <w:rFonts w:ascii="Bookman Old Style" w:hAnsi="Bookman Old Style"/>
        </w:rPr>
        <w:tab/>
        <w:t>review it, and the Statement of Benefits (SB-1) form/s, for completeness</w:t>
      </w:r>
    </w:p>
    <w:p w14:paraId="72060E75"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(c)</w:t>
      </w:r>
      <w:r w:rsidRPr="008968D3">
        <w:rPr>
          <w:rFonts w:ascii="Bookman Old Style" w:hAnsi="Bookman Old Style"/>
        </w:rPr>
        <w:tab/>
        <w:t>provide the Council with appropriate maps necessary to identify the area for which the applicant/taxpayer requests an Economic Revitalization Area designation along with a simplified description of its boundaries.</w:t>
      </w:r>
    </w:p>
    <w:p w14:paraId="6D658920"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(d)</w:t>
      </w:r>
      <w:r w:rsidRPr="008968D3">
        <w:rPr>
          <w:rFonts w:ascii="Bookman Old Style" w:hAnsi="Bookman Old Style"/>
        </w:rPr>
        <w:tab/>
        <w:t xml:space="preserve">provide the applicant/taxpayer written notice of the meeting at which the Council will formally consider the application.  The applicant/taxpayer or its representative shall be present at the Council meeting at which the application and Statement of Benefits (SB-1) form/s is/are considered. </w:t>
      </w:r>
    </w:p>
    <w:p w14:paraId="6B4A7CBF"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(4)</w:t>
      </w:r>
      <w:r w:rsidRPr="008968D3">
        <w:rPr>
          <w:rFonts w:ascii="Bookman Old Style" w:hAnsi="Bookman Old Style"/>
        </w:rPr>
        <w:tab/>
        <w:t xml:space="preserve">After review of the information provided in the application and Statement of Benefits (SB-1) form/s, by the staff, the applicant/taxpayer and other interested persons: </w:t>
      </w:r>
      <w:proofErr w:type="gramStart"/>
      <w:r w:rsidRPr="008968D3">
        <w:rPr>
          <w:rFonts w:ascii="Bookman Old Style" w:hAnsi="Bookman Old Style"/>
        </w:rPr>
        <w:t>the</w:t>
      </w:r>
      <w:proofErr w:type="gramEnd"/>
      <w:r w:rsidRPr="008968D3">
        <w:rPr>
          <w:rFonts w:ascii="Bookman Old Style" w:hAnsi="Bookman Old Style"/>
        </w:rPr>
        <w:t xml:space="preserve"> Council may:</w:t>
      </w:r>
    </w:p>
    <w:p w14:paraId="23A0896C"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(a) </w:t>
      </w:r>
      <w:r w:rsidRPr="008968D3">
        <w:rPr>
          <w:rFonts w:ascii="Bookman Old Style" w:hAnsi="Bookman Old Style"/>
        </w:rPr>
        <w:tab/>
        <w:t xml:space="preserve">find that the real estate under consideration meets the definition and standards of an Economic Revitalization Area, as set forth in I.C. 6-1.1-12.1-1(1) and Section 2 of this ordinance. In such instances, the Council may adopt a declaratory resolution stating the same and cause the action set forth in subsection (5) of this paragraph A to occur. Said declaratory resolution shall include the reasons upon which the determination is made. </w:t>
      </w:r>
    </w:p>
    <w:p w14:paraId="60C4CC93"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(b) </w:t>
      </w:r>
      <w:r w:rsidRPr="008968D3">
        <w:rPr>
          <w:rFonts w:ascii="Bookman Old Style" w:hAnsi="Bookman Old Style"/>
        </w:rPr>
        <w:tab/>
        <w:t xml:space="preserve">find that there is insufficient information and defer action on the </w:t>
      </w:r>
      <w:r w:rsidRPr="008968D3">
        <w:rPr>
          <w:rFonts w:ascii="Bookman Old Style" w:hAnsi="Bookman Old Style"/>
        </w:rPr>
        <w:lastRenderedPageBreak/>
        <w:t xml:space="preserve">matter. The applicant/taxpayer shall be provided written notice of the reasons for deferral. </w:t>
      </w:r>
    </w:p>
    <w:p w14:paraId="78E90328"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(c) </w:t>
      </w:r>
      <w:r w:rsidRPr="008968D3">
        <w:rPr>
          <w:rFonts w:ascii="Bookman Old Style" w:hAnsi="Bookman Old Style"/>
        </w:rPr>
        <w:tab/>
        <w:t>determine that the real estate should not be designated as an Economic Revitalization Area and provide the applicant/taxpayer written notice thereof.</w:t>
      </w:r>
    </w:p>
    <w:p w14:paraId="1E2B1AFB"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(5)</w:t>
      </w:r>
      <w:r w:rsidRPr="008968D3">
        <w:rPr>
          <w:rFonts w:ascii="Bookman Old Style" w:hAnsi="Bookman Old Style"/>
        </w:rPr>
        <w:tab/>
        <w:t>Upon adoption of a declaratory resolution, the Council shall:</w:t>
      </w:r>
    </w:p>
    <w:p w14:paraId="76B6D5FD"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(a)  </w:t>
      </w:r>
      <w:r w:rsidRPr="008968D3">
        <w:rPr>
          <w:rFonts w:ascii="Bookman Old Style" w:hAnsi="Bookman Old Style"/>
        </w:rPr>
        <w:tab/>
        <w:t xml:space="preserve">set the date, time, and location for a public hearing at which the Council will receive and hear all comments, remonstrances and objections from interested persons; </w:t>
      </w:r>
    </w:p>
    <w:p w14:paraId="5F3C3DB3"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(b)  </w:t>
      </w:r>
      <w:r w:rsidRPr="008968D3">
        <w:rPr>
          <w:rFonts w:ascii="Bookman Old Style" w:hAnsi="Bookman Old Style"/>
        </w:rPr>
        <w:tab/>
        <w:t>cause notice of the adoption and substance of the declaratory resolution to be published in accordance with I.C. 6-1.1-12.1-2.5(c) and I.C. 5-3-1. The notice shall state that a description of the affected area is available and can be inspected in the offices of the Allen County Department of Planning Services, the Allen County Assessor, and the City Clerk-Treasurer. The notice shall also state the time, date, and location of the subsequent public hearing on the matter;</w:t>
      </w:r>
    </w:p>
    <w:p w14:paraId="2517E05C"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(c)      cause a generalized description of the subject real estate to be attached to the declaratory resolution and file same with the Allen County Assessor and the City Clerk-Treasurer;</w:t>
      </w:r>
    </w:p>
    <w:p w14:paraId="2006E538"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(d)</w:t>
      </w:r>
      <w:r w:rsidRPr="008968D3">
        <w:rPr>
          <w:rFonts w:ascii="Bookman Old Style" w:hAnsi="Bookman Old Style"/>
        </w:rPr>
        <w:tab/>
        <w:t>cause the notice, and a statement containing substantially the same information as the Statement of Benefits (SB-1) form/s submitted by the applicant/taxpayer, to be filed at least ten (10) days before the date of the public hearing on the matter with each taxing unit that has authority to levy property taxes or fix budgets, tax rates and tax levies within the geographical area where the affected area subject of the declaratory resolution is located.</w:t>
      </w:r>
    </w:p>
    <w:p w14:paraId="439446DF"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 xml:space="preserve">(6)      </w:t>
      </w:r>
      <w:r w:rsidRPr="008968D3">
        <w:rPr>
          <w:rFonts w:ascii="Bookman Old Style" w:hAnsi="Bookman Old Style"/>
        </w:rPr>
        <w:tab/>
        <w:t xml:space="preserve">Upon considering the evidence presented at the public hearing, the Council shall take final action on the request for designation by either confirming, modifying and confirming, or rescinding the subject declaratory resolution. The </w:t>
      </w:r>
      <w:r w:rsidRPr="008968D3">
        <w:rPr>
          <w:rFonts w:ascii="Bookman Old Style" w:hAnsi="Bookman Old Style"/>
        </w:rPr>
        <w:lastRenderedPageBreak/>
        <w:t xml:space="preserve">applicant/taxpayer(s) or its representative shall be present at the public hearing to provide such information as may be needed. </w:t>
      </w:r>
    </w:p>
    <w:p w14:paraId="2A6FB553" w14:textId="77777777" w:rsidR="001772AC" w:rsidRPr="008968D3" w:rsidRDefault="001772AC" w:rsidP="001772AC">
      <w:pPr>
        <w:widowControl w:val="0"/>
        <w:spacing w:line="360" w:lineRule="auto"/>
        <w:ind w:left="720"/>
        <w:jc w:val="both"/>
        <w:rPr>
          <w:rFonts w:ascii="Bookman Old Style" w:hAnsi="Bookman Old Style"/>
          <w:highlight w:val="yellow"/>
        </w:rPr>
      </w:pPr>
      <w:r w:rsidRPr="008968D3">
        <w:rPr>
          <w:rFonts w:ascii="Bookman Old Style" w:hAnsi="Bookman Old Style"/>
        </w:rPr>
        <w:t>(7)      The determination of the confirmatory resolution made pursuant to subsection (6) of this paragraph A shall be final except that an appeal may be taken as provided in I.C. 6-l.1-12.1-2.5(d) and I.C. 6-1.1-</w:t>
      </w:r>
      <w:proofErr w:type="gramStart"/>
      <w:r w:rsidRPr="008968D3">
        <w:rPr>
          <w:rFonts w:ascii="Bookman Old Style" w:hAnsi="Bookman Old Style"/>
        </w:rPr>
        <w:t>12.l</w:t>
      </w:r>
      <w:proofErr w:type="gramEnd"/>
      <w:r w:rsidRPr="008968D3">
        <w:rPr>
          <w:rFonts w:ascii="Bookman Old Style" w:hAnsi="Bookman Old Style"/>
        </w:rPr>
        <w:t>-2.5(e).</w:t>
      </w:r>
    </w:p>
    <w:p w14:paraId="1A8C029A"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(8)</w:t>
      </w:r>
      <w:r w:rsidRPr="008968D3">
        <w:rPr>
          <w:rFonts w:ascii="Bookman Old Style" w:hAnsi="Bookman Old Style"/>
        </w:rPr>
        <w:tab/>
        <w:t>Upon confirming, or modifying and confirming, a declaratory resolution by the procedures set forth herein, the Allen County Auditor and the economic development division shall keep a record of the designation of the subject Economic Revitalization Area. The economic development division staff shall provide the Allen County Auditor with a final designation packet to be utilized in the review of applications for deduction pursuant to I.C. 6-1.1-12.1-5, I.C. 6-1.1-12.1-5-4.8, and I.C. 6-1.1-12.1-5.4.</w:t>
      </w:r>
    </w:p>
    <w:p w14:paraId="084C926F"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(B)</w:t>
      </w:r>
      <w:r w:rsidRPr="008968D3">
        <w:rPr>
          <w:rFonts w:ascii="Bookman Old Style" w:hAnsi="Bookman Old Style"/>
        </w:rPr>
        <w:tab/>
        <w:t xml:space="preserve">The economic development division staff of the Allen County Department of Planning Services shall not review application for economic revitalization area status for any of the facility types noted below, </w:t>
      </w:r>
      <w:proofErr w:type="gramStart"/>
      <w:r w:rsidRPr="008968D3">
        <w:rPr>
          <w:rFonts w:ascii="Bookman Old Style" w:hAnsi="Bookman Old Style"/>
        </w:rPr>
        <w:t>whether or not</w:t>
      </w:r>
      <w:proofErr w:type="gramEnd"/>
      <w:r w:rsidRPr="008968D3">
        <w:rPr>
          <w:rFonts w:ascii="Bookman Old Style" w:hAnsi="Bookman Old Style"/>
        </w:rPr>
        <w:t xml:space="preserve"> said facility is located within an economic development target area:</w:t>
      </w:r>
    </w:p>
    <w:p w14:paraId="7C9A608C"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(1)</w:t>
      </w:r>
      <w:r w:rsidRPr="008968D3">
        <w:rPr>
          <w:rFonts w:ascii="Bookman Old Style" w:hAnsi="Bookman Old Style"/>
        </w:rPr>
        <w:tab/>
        <w:t>Massage parlor;</w:t>
      </w:r>
    </w:p>
    <w:p w14:paraId="4976CBDA"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(2)</w:t>
      </w:r>
      <w:r w:rsidRPr="008968D3">
        <w:rPr>
          <w:rFonts w:ascii="Bookman Old Style" w:hAnsi="Bookman Old Style"/>
        </w:rPr>
        <w:tab/>
        <w:t>Hot tub facility;</w:t>
      </w:r>
    </w:p>
    <w:p w14:paraId="6D7740BC"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(3)</w:t>
      </w:r>
      <w:r w:rsidRPr="008968D3">
        <w:rPr>
          <w:rFonts w:ascii="Bookman Old Style" w:hAnsi="Bookman Old Style"/>
        </w:rPr>
        <w:tab/>
        <w:t>Racetrack;</w:t>
      </w:r>
    </w:p>
    <w:p w14:paraId="12FB64A3"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(4)</w:t>
      </w:r>
      <w:r w:rsidRPr="008968D3">
        <w:rPr>
          <w:rFonts w:ascii="Bookman Old Style" w:hAnsi="Bookman Old Style"/>
        </w:rPr>
        <w:tab/>
        <w:t>Tobacco store or facility where tobacco or tobacco products comprise the majority (greater than 50%) of sales;</w:t>
      </w:r>
    </w:p>
    <w:p w14:paraId="515069E6"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(5)</w:t>
      </w:r>
      <w:r w:rsidRPr="008968D3">
        <w:rPr>
          <w:rFonts w:ascii="Bookman Old Style" w:hAnsi="Bookman Old Style"/>
        </w:rPr>
        <w:tab/>
        <w:t>Arcade facility or facility with primarily arcade games;</w:t>
      </w:r>
    </w:p>
    <w:p w14:paraId="14FB8E99"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(6)</w:t>
      </w:r>
      <w:r w:rsidRPr="008968D3">
        <w:rPr>
          <w:rFonts w:ascii="Bookman Old Style" w:hAnsi="Bookman Old Style"/>
        </w:rPr>
        <w:tab/>
        <w:t xml:space="preserve">Sales, warehousing, distribution or servicing facility where guns or other types of weaponry and/or ammunition of any type comprise the majority (greater than 50%) of sales, </w:t>
      </w:r>
      <w:proofErr w:type="gramStart"/>
      <w:r w:rsidRPr="008968D3">
        <w:rPr>
          <w:rFonts w:ascii="Bookman Old Style" w:hAnsi="Bookman Old Style"/>
        </w:rPr>
        <w:t>whether or not</w:t>
      </w:r>
      <w:proofErr w:type="gramEnd"/>
      <w:r w:rsidRPr="008968D3">
        <w:rPr>
          <w:rFonts w:ascii="Bookman Old Style" w:hAnsi="Bookman Old Style"/>
        </w:rPr>
        <w:t xml:space="preserve"> used for purposes of sport;</w:t>
      </w:r>
    </w:p>
    <w:p w14:paraId="119A4898"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(7)</w:t>
      </w:r>
      <w:r w:rsidRPr="008968D3">
        <w:rPr>
          <w:rFonts w:ascii="Bookman Old Style" w:hAnsi="Bookman Old Style"/>
        </w:rPr>
        <w:tab/>
        <w:t>Pawn shop;</w:t>
      </w:r>
    </w:p>
    <w:p w14:paraId="66DFADDB"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(8)</w:t>
      </w:r>
      <w:r w:rsidRPr="008968D3">
        <w:rPr>
          <w:rFonts w:ascii="Bookman Old Style" w:hAnsi="Bookman Old Style"/>
        </w:rPr>
        <w:tab/>
        <w:t xml:space="preserve">Package liquor store that holds a liquor dealer’s permit under Indiana </w:t>
      </w:r>
      <w:r w:rsidRPr="008968D3">
        <w:rPr>
          <w:rFonts w:ascii="Bookman Old Style" w:hAnsi="Bookman Old Style"/>
        </w:rPr>
        <w:lastRenderedPageBreak/>
        <w:t>Code (I.C. 7.1-3-10) or any other entity required to operate under a license issued under I.C. 7.1 et seq.</w:t>
      </w:r>
    </w:p>
    <w:p w14:paraId="2E1DA511"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 xml:space="preserve">Notwithstanding the foregoing restrictions in subsection (8) of this paragraph, an applicant/taxpayer may submit an application for Economic Revitalization Area designation, for personal property deduction only, for entities operating wholesale operations under a license issued under Indiana Code (I.C. 7.1-3-3, I.C. 7.7-3-8, or I.C. 7.1-3-13); provided, however, that an applicant/taxpayer applying for a personal property deduction noted herein shall not be eligible to make said application or have said application approved if the applicant/taxpayer is also licensed to do business under any other section contained in I.C. 7.1 et seq. </w:t>
      </w:r>
    </w:p>
    <w:p w14:paraId="42525657"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(C)</w:t>
      </w:r>
      <w:r w:rsidRPr="008968D3">
        <w:rPr>
          <w:rFonts w:ascii="Bookman Old Style" w:hAnsi="Bookman Old Style"/>
        </w:rPr>
        <w:tab/>
        <w:t xml:space="preserve">Applications will be </w:t>
      </w:r>
      <w:proofErr w:type="gramStart"/>
      <w:r w:rsidRPr="008968D3">
        <w:rPr>
          <w:rFonts w:ascii="Bookman Old Style" w:hAnsi="Bookman Old Style"/>
        </w:rPr>
        <w:t>evaluated</w:t>
      </w:r>
      <w:proofErr w:type="gramEnd"/>
      <w:r w:rsidRPr="008968D3">
        <w:rPr>
          <w:rFonts w:ascii="Bookman Old Style" w:hAnsi="Bookman Old Style"/>
        </w:rPr>
        <w:t xml:space="preserve"> and the information provided within will be applied toward the point system to determine the recommended length of the abatement.  Unless otherwise provided in, or limited by, paragraphs (D), (F), (H), (I) and (J) of this Section or as otherwise provided by this ordinance, abatements can be granted for a period of three, five, seven or ten years for both real and personal property as determined by the point system.  </w:t>
      </w:r>
    </w:p>
    <w:p w14:paraId="6BC72749"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(D)</w:t>
      </w:r>
      <w:r w:rsidRPr="008968D3">
        <w:rPr>
          <w:rFonts w:ascii="Bookman Old Style" w:hAnsi="Bookman Old Style"/>
        </w:rPr>
        <w:tab/>
        <w:t>For applications that include personal property, the applicant/taxpayer shall provide the expected life of each asset (piece of equipment) for depreciation purposes.  The abatement period for personal property may be limited to a term that is less than the depreciable life of the asset.</w:t>
      </w:r>
    </w:p>
    <w:p w14:paraId="523B19FF"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(E)</w:t>
      </w:r>
      <w:r w:rsidRPr="008968D3">
        <w:rPr>
          <w:rFonts w:ascii="Bookman Old Style" w:hAnsi="Bookman Old Style"/>
        </w:rPr>
        <w:tab/>
        <w:t xml:space="preserve">For applications that include new manufacturing equipment, as defined in I.C. 6-1.1-12.1-1(3), the applicant/taxpayer shall indicate whether “special tools” (as defined by Indiana Administrative Code Title 50 Department of Local Government Finance, Article 4.2 Assessment of Tangible Personal Property) are included in the new manufacturing equipment.  Special Tooling may be limited to a one-year abatement term.  </w:t>
      </w:r>
    </w:p>
    <w:p w14:paraId="40613CDB"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(F)</w:t>
      </w:r>
      <w:r w:rsidRPr="008968D3">
        <w:rPr>
          <w:rFonts w:ascii="Bookman Old Style" w:hAnsi="Bookman Old Style"/>
        </w:rPr>
        <w:tab/>
        <w:t xml:space="preserve">For applicants/taxpayers indicating that there is a retail component to their facility, they must also indicate, by percentage of overall business, to what extent the facility contains retail activities.  </w:t>
      </w:r>
    </w:p>
    <w:p w14:paraId="6D6862A4"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lastRenderedPageBreak/>
        <w:t>(1)</w:t>
      </w:r>
      <w:r w:rsidRPr="008968D3">
        <w:rPr>
          <w:rFonts w:ascii="Bookman Old Style" w:hAnsi="Bookman Old Style"/>
        </w:rPr>
        <w:tab/>
        <w:t xml:space="preserve">Anything less than ten percent (10%) shall be considered a </w:t>
      </w:r>
      <w:r w:rsidRPr="008968D3">
        <w:rPr>
          <w:rFonts w:ascii="Bookman Old Style" w:hAnsi="Bookman Old Style"/>
          <w:i/>
        </w:rPr>
        <w:t xml:space="preserve">de </w:t>
      </w:r>
      <w:proofErr w:type="spellStart"/>
      <w:r w:rsidRPr="008968D3">
        <w:rPr>
          <w:rFonts w:ascii="Bookman Old Style" w:hAnsi="Bookman Old Style"/>
          <w:i/>
        </w:rPr>
        <w:t>minimus</w:t>
      </w:r>
      <w:proofErr w:type="spellEnd"/>
      <w:r w:rsidRPr="008968D3">
        <w:rPr>
          <w:rFonts w:ascii="Bookman Old Style" w:hAnsi="Bookman Old Style"/>
        </w:rPr>
        <w:t xml:space="preserve"> amount, while any amount above fifty percent (50%) will make any application for the redevelopment or rehabilitation of real estate ineligible for abatement, unless located within a designated economic development target area designated by the Council by ordinance pursuant to I.C. 6-1.1-12.1-7 and not defined as ineligible under Indiana Code (I.C. 6-1.1-12.1-3(e)).  </w:t>
      </w:r>
    </w:p>
    <w:p w14:paraId="589D198C"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For retail percentages between 10% and 50%, only the non-retail percentage of the total investment shall be included in the abatement deduction amount.</w:t>
      </w:r>
    </w:p>
    <w:p w14:paraId="1DEA065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 xml:space="preserve">Notwithstanding the foregoing, when a facility is located within a designated economic development target area and not defined ineligible under Indiana Code (I.C. 6-1.1-12.1-3(e)), </w:t>
      </w:r>
      <w:proofErr w:type="gramStart"/>
      <w:r w:rsidRPr="008968D3">
        <w:rPr>
          <w:rFonts w:ascii="Bookman Old Style" w:hAnsi="Bookman Old Style"/>
        </w:rPr>
        <w:t>then  a</w:t>
      </w:r>
      <w:proofErr w:type="gramEnd"/>
      <w:r w:rsidRPr="008968D3">
        <w:rPr>
          <w:rFonts w:ascii="Bookman Old Style" w:hAnsi="Bookman Old Style"/>
        </w:rPr>
        <w:t xml:space="preserve"> ten year deduction may be granted without adhering to the point system.</w:t>
      </w:r>
    </w:p>
    <w:p w14:paraId="3601584C"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(G)</w:t>
      </w:r>
      <w:r w:rsidRPr="008968D3">
        <w:rPr>
          <w:rFonts w:ascii="Bookman Old Style" w:hAnsi="Bookman Old Style"/>
        </w:rPr>
        <w:tab/>
        <w:t>For applicants/taxpayers that are service-based businesses, the following criteria must be met to be eligible for abatement:</w:t>
      </w:r>
    </w:p>
    <w:p w14:paraId="6CA533A6"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More than 25% of the customer base for the service-based business is located outside of Allen County, Indiana OR more than 25% of the annual gross revenue of the service-based business is generated by customers located outside of Allen County; or</w:t>
      </w:r>
    </w:p>
    <w:p w14:paraId="18BB518E"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The amount of the investment for which the abatement is being sought by the applicant/taxpayer is $5,000,000 or more.</w:t>
      </w:r>
    </w:p>
    <w:p w14:paraId="65347DF0" w14:textId="77777777" w:rsidR="001772AC" w:rsidRPr="008968D3" w:rsidRDefault="001772AC" w:rsidP="001772AC">
      <w:pPr>
        <w:widowControl w:val="0"/>
        <w:spacing w:line="360" w:lineRule="auto"/>
        <w:jc w:val="both"/>
        <w:rPr>
          <w:rFonts w:ascii="Bookman Old Style" w:hAnsi="Bookman Old Style"/>
        </w:rPr>
      </w:pPr>
      <w:r w:rsidRPr="008968D3" w:rsidDel="00562220">
        <w:rPr>
          <w:rFonts w:ascii="Bookman Old Style" w:hAnsi="Bookman Old Style"/>
        </w:rPr>
        <w:t xml:space="preserve"> </w:t>
      </w:r>
      <w:r w:rsidRPr="008968D3">
        <w:rPr>
          <w:rFonts w:ascii="Bookman Old Style" w:hAnsi="Bookman Old Style"/>
        </w:rPr>
        <w:t xml:space="preserve">For purposes of this paragraph, </w:t>
      </w:r>
      <w:proofErr w:type="gramStart"/>
      <w:r w:rsidRPr="008968D3">
        <w:rPr>
          <w:rFonts w:ascii="Bookman Old Style" w:hAnsi="Bookman Old Style"/>
        </w:rPr>
        <w:t>a ”service</w:t>
      </w:r>
      <w:proofErr w:type="gramEnd"/>
      <w:r w:rsidRPr="008968D3">
        <w:rPr>
          <w:rFonts w:ascii="Bookman Old Style" w:hAnsi="Bookman Old Style"/>
        </w:rPr>
        <w:t xml:space="preserve">-based business” means a commercial enterprise that derives more than 50% of its annual gross revenue directly from labor performed in an expert manner by an individual or team for the benefit of its customers/clients as opposed to the sale of tangible goods and/or products.  The definition includes, without limitation, businesses such as law firms, accounting firms, consulting firms, financial services firms, insurance agencies, marketing/advertising agencies, and medical and dental practices.  The definition does not include retail establishments, the eligibility of which is determined under I.C. 6-1.1-12.1-3(e). </w:t>
      </w:r>
    </w:p>
    <w:p w14:paraId="29D059B9"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(H)</w:t>
      </w:r>
      <w:r w:rsidRPr="008968D3">
        <w:rPr>
          <w:rFonts w:ascii="Bookman Old Style" w:hAnsi="Bookman Old Style"/>
        </w:rPr>
        <w:tab/>
        <w:t xml:space="preserve">Applicants/taxpayers for a deduction involving the redevelopment or </w:t>
      </w:r>
      <w:r w:rsidRPr="008968D3">
        <w:rPr>
          <w:rFonts w:ascii="Bookman Old Style" w:hAnsi="Bookman Old Style"/>
        </w:rPr>
        <w:lastRenderedPageBreak/>
        <w:t xml:space="preserve">rehabilitation of a speculative building may receive a ten-year phased deduction without adhering to the point system.  For purposes of this paragraph, a “speculative building” means a building development, construction, or rehabilitation of at least 50,000 square feet that is reasonably likely to create new jobs when the developer has no formal commitment from a buyer or tenant to purchase or lease the end product, whether the end product is a fully completed, move-in ready building or a partially completed shell suitable for build-out improvements by the future owner or tenant.  Additional incentives for the final build out and personal property (equipment) may be considered upon the identification of the end user.  Any additional incentives will adhere to the point system for real and personal property abatement at the time of submittal. </w:t>
      </w:r>
    </w:p>
    <w:p w14:paraId="390ED98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(I)</w:t>
      </w:r>
      <w:r w:rsidRPr="008968D3">
        <w:rPr>
          <w:rFonts w:ascii="Bookman Old Style" w:hAnsi="Bookman Old Style"/>
        </w:rPr>
        <w:tab/>
        <w:t>The owner of an eligible vacant building, as defined in I.C. 6-1.1-12.1-1(17), is entitled to a deduction from the assessed value of the building if the applicant/taxpayer or tenant of the applicant/taxpayer occupies the eligible vacant building and uses it for commercial or industrial purposes:</w:t>
      </w:r>
    </w:p>
    <w:p w14:paraId="09BB3F20"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An applicant/taxpayer is entitled to the deduction for no more than two years with the deduction schedule as follows:</w:t>
      </w:r>
    </w:p>
    <w:p w14:paraId="6F715B81"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Year 1 = 100% deduction</w:t>
      </w:r>
    </w:p>
    <w:p w14:paraId="6AD05C7F"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Year 2 = 50% deduction</w:t>
      </w:r>
    </w:p>
    <w:p w14:paraId="56795F0F"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(J)</w:t>
      </w:r>
      <w:r w:rsidRPr="008968D3">
        <w:rPr>
          <w:rFonts w:ascii="Bookman Old Style" w:hAnsi="Bookman Old Style"/>
        </w:rPr>
        <w:tab/>
        <w:t>The criteria for a twenty (20) year personal property deduction are as follows:</w:t>
      </w:r>
    </w:p>
    <w:p w14:paraId="0940A416"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The applicant/taxpayer will create at least One Thousand (1,000) new jobs within two years of submitting its application</w:t>
      </w:r>
    </w:p>
    <w:p w14:paraId="0FE3871C"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The applicant/taxpayer will invest at least Five Hundred Million Dollars ($500,000,000.00) in eligible personal property.</w:t>
      </w:r>
    </w:p>
    <w:p w14:paraId="26C2E99B"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(3)</w:t>
      </w:r>
      <w:r w:rsidRPr="008968D3">
        <w:rPr>
          <w:rFonts w:ascii="Bookman Old Style" w:hAnsi="Bookman Old Style"/>
        </w:rPr>
        <w:tab/>
        <w:t>The amount of income taxes generated by the new jobs will be equal to or exceed the value of the deduction after ten (10) years.</w:t>
      </w:r>
    </w:p>
    <w:p w14:paraId="1E88AE23"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Per I.C. 6-1.1-12.1-18(e), Council will hold a public hearing for any abatement schedule that exceeds ten (10) years to review the applicant/taxpayer’s Compliance with Statement of Benefits (Form CF-1) after the tenth (10</w:t>
      </w:r>
      <w:r w:rsidRPr="008968D3">
        <w:rPr>
          <w:rFonts w:ascii="Bookman Old Style" w:hAnsi="Bookman Old Style"/>
          <w:vertAlign w:val="superscript"/>
        </w:rPr>
        <w:t>th</w:t>
      </w:r>
      <w:r w:rsidRPr="008968D3">
        <w:rPr>
          <w:rFonts w:ascii="Bookman Old Style" w:hAnsi="Bookman Old Style"/>
        </w:rPr>
        <w:t>) year.</w:t>
      </w:r>
    </w:p>
    <w:p w14:paraId="7C8D2B7C"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lastRenderedPageBreak/>
        <w:t>The deduction schedule for a twenty (20) year deduction is as follows:</w:t>
      </w:r>
    </w:p>
    <w:p w14:paraId="4ECA2BC8"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w:t>
      </w:r>
      <w:r w:rsidRPr="008968D3">
        <w:rPr>
          <w:rFonts w:ascii="Bookman Old Style" w:hAnsi="Bookman Old Style"/>
        </w:rPr>
        <w:tab/>
      </w:r>
      <w:r w:rsidRPr="008968D3">
        <w:rPr>
          <w:rFonts w:ascii="Bookman Old Style" w:hAnsi="Bookman Old Style"/>
        </w:rPr>
        <w:tab/>
        <w:t>100%</w:t>
      </w:r>
    </w:p>
    <w:p w14:paraId="3CFE7BB0"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2</w:t>
      </w:r>
      <w:r w:rsidRPr="008968D3">
        <w:rPr>
          <w:rFonts w:ascii="Bookman Old Style" w:hAnsi="Bookman Old Style"/>
        </w:rPr>
        <w:tab/>
      </w:r>
      <w:r w:rsidRPr="008968D3">
        <w:rPr>
          <w:rFonts w:ascii="Bookman Old Style" w:hAnsi="Bookman Old Style"/>
        </w:rPr>
        <w:tab/>
        <w:t>95%</w:t>
      </w:r>
    </w:p>
    <w:p w14:paraId="09DBD539"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3</w:t>
      </w:r>
      <w:r w:rsidRPr="008968D3">
        <w:rPr>
          <w:rFonts w:ascii="Bookman Old Style" w:hAnsi="Bookman Old Style"/>
        </w:rPr>
        <w:tab/>
      </w:r>
      <w:r w:rsidRPr="008968D3">
        <w:rPr>
          <w:rFonts w:ascii="Bookman Old Style" w:hAnsi="Bookman Old Style"/>
        </w:rPr>
        <w:tab/>
        <w:t>90%</w:t>
      </w:r>
    </w:p>
    <w:p w14:paraId="518FADB8"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4</w:t>
      </w:r>
      <w:r w:rsidRPr="008968D3">
        <w:rPr>
          <w:rFonts w:ascii="Bookman Old Style" w:hAnsi="Bookman Old Style"/>
        </w:rPr>
        <w:tab/>
      </w:r>
      <w:r w:rsidRPr="008968D3">
        <w:rPr>
          <w:rFonts w:ascii="Bookman Old Style" w:hAnsi="Bookman Old Style"/>
        </w:rPr>
        <w:tab/>
        <w:t>85%</w:t>
      </w:r>
    </w:p>
    <w:p w14:paraId="100846A9"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5</w:t>
      </w:r>
      <w:r w:rsidRPr="008968D3">
        <w:rPr>
          <w:rFonts w:ascii="Bookman Old Style" w:hAnsi="Bookman Old Style"/>
        </w:rPr>
        <w:tab/>
      </w:r>
      <w:r w:rsidRPr="008968D3">
        <w:rPr>
          <w:rFonts w:ascii="Bookman Old Style" w:hAnsi="Bookman Old Style"/>
        </w:rPr>
        <w:tab/>
        <w:t>80%</w:t>
      </w:r>
    </w:p>
    <w:p w14:paraId="288B7A91"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6</w:t>
      </w:r>
      <w:r w:rsidRPr="008968D3">
        <w:rPr>
          <w:rFonts w:ascii="Bookman Old Style" w:hAnsi="Bookman Old Style"/>
        </w:rPr>
        <w:tab/>
      </w:r>
      <w:r w:rsidRPr="008968D3">
        <w:rPr>
          <w:rFonts w:ascii="Bookman Old Style" w:hAnsi="Bookman Old Style"/>
        </w:rPr>
        <w:tab/>
        <w:t>75%</w:t>
      </w:r>
    </w:p>
    <w:p w14:paraId="09E9D6DC"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7</w:t>
      </w:r>
      <w:r w:rsidRPr="008968D3">
        <w:rPr>
          <w:rFonts w:ascii="Bookman Old Style" w:hAnsi="Bookman Old Style"/>
        </w:rPr>
        <w:tab/>
      </w:r>
      <w:r w:rsidRPr="008968D3">
        <w:rPr>
          <w:rFonts w:ascii="Bookman Old Style" w:hAnsi="Bookman Old Style"/>
        </w:rPr>
        <w:tab/>
        <w:t>70%</w:t>
      </w:r>
    </w:p>
    <w:p w14:paraId="6AE462A7"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8</w:t>
      </w:r>
      <w:r w:rsidRPr="008968D3">
        <w:rPr>
          <w:rFonts w:ascii="Bookman Old Style" w:hAnsi="Bookman Old Style"/>
        </w:rPr>
        <w:tab/>
      </w:r>
      <w:r w:rsidRPr="008968D3">
        <w:rPr>
          <w:rFonts w:ascii="Bookman Old Style" w:hAnsi="Bookman Old Style"/>
        </w:rPr>
        <w:tab/>
        <w:t>65%</w:t>
      </w:r>
    </w:p>
    <w:p w14:paraId="56A98B5D"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9</w:t>
      </w:r>
      <w:r w:rsidRPr="008968D3">
        <w:rPr>
          <w:rFonts w:ascii="Bookman Old Style" w:hAnsi="Bookman Old Style"/>
        </w:rPr>
        <w:tab/>
      </w:r>
      <w:r w:rsidRPr="008968D3">
        <w:rPr>
          <w:rFonts w:ascii="Bookman Old Style" w:hAnsi="Bookman Old Style"/>
        </w:rPr>
        <w:tab/>
        <w:t>60%</w:t>
      </w:r>
    </w:p>
    <w:p w14:paraId="415461CD"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10</w:t>
      </w:r>
      <w:r w:rsidRPr="008968D3">
        <w:rPr>
          <w:rFonts w:ascii="Bookman Old Style" w:hAnsi="Bookman Old Style"/>
        </w:rPr>
        <w:tab/>
        <w:t>55%</w:t>
      </w:r>
    </w:p>
    <w:p w14:paraId="5D38C858"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11</w:t>
      </w:r>
      <w:r w:rsidRPr="008968D3">
        <w:rPr>
          <w:rFonts w:ascii="Bookman Old Style" w:hAnsi="Bookman Old Style"/>
        </w:rPr>
        <w:tab/>
        <w:t>50%</w:t>
      </w:r>
    </w:p>
    <w:p w14:paraId="666AADC2"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12</w:t>
      </w:r>
      <w:r w:rsidRPr="008968D3">
        <w:rPr>
          <w:rFonts w:ascii="Bookman Old Style" w:hAnsi="Bookman Old Style"/>
        </w:rPr>
        <w:tab/>
        <w:t>45%</w:t>
      </w:r>
    </w:p>
    <w:p w14:paraId="2598EADB"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13</w:t>
      </w:r>
      <w:r w:rsidRPr="008968D3">
        <w:rPr>
          <w:rFonts w:ascii="Bookman Old Style" w:hAnsi="Bookman Old Style"/>
        </w:rPr>
        <w:tab/>
        <w:t>40%</w:t>
      </w:r>
    </w:p>
    <w:p w14:paraId="7676A54D"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14</w:t>
      </w:r>
      <w:r w:rsidRPr="008968D3">
        <w:rPr>
          <w:rFonts w:ascii="Bookman Old Style" w:hAnsi="Bookman Old Style"/>
        </w:rPr>
        <w:tab/>
        <w:t>35%</w:t>
      </w:r>
    </w:p>
    <w:p w14:paraId="40B081B2"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15</w:t>
      </w:r>
      <w:r w:rsidRPr="008968D3">
        <w:rPr>
          <w:rFonts w:ascii="Bookman Old Style" w:hAnsi="Bookman Old Style"/>
        </w:rPr>
        <w:tab/>
        <w:t>30%</w:t>
      </w:r>
    </w:p>
    <w:p w14:paraId="4E6C53EB"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16</w:t>
      </w:r>
      <w:r w:rsidRPr="008968D3">
        <w:rPr>
          <w:rFonts w:ascii="Bookman Old Style" w:hAnsi="Bookman Old Style"/>
        </w:rPr>
        <w:tab/>
        <w:t>25%</w:t>
      </w:r>
    </w:p>
    <w:p w14:paraId="2CDC3870"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17</w:t>
      </w:r>
      <w:r w:rsidRPr="008968D3">
        <w:rPr>
          <w:rFonts w:ascii="Bookman Old Style" w:hAnsi="Bookman Old Style"/>
        </w:rPr>
        <w:tab/>
        <w:t>20%</w:t>
      </w:r>
    </w:p>
    <w:p w14:paraId="176DE0E7"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18</w:t>
      </w:r>
      <w:r w:rsidRPr="008968D3">
        <w:rPr>
          <w:rFonts w:ascii="Bookman Old Style" w:hAnsi="Bookman Old Style"/>
        </w:rPr>
        <w:tab/>
        <w:t>15%</w:t>
      </w:r>
    </w:p>
    <w:p w14:paraId="6D59CAF1"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19</w:t>
      </w:r>
      <w:r w:rsidRPr="008968D3">
        <w:rPr>
          <w:rFonts w:ascii="Bookman Old Style" w:hAnsi="Bookman Old Style"/>
        </w:rPr>
        <w:tab/>
        <w:t>10%</w:t>
      </w:r>
    </w:p>
    <w:p w14:paraId="28CB7544"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Year 20</w:t>
      </w:r>
      <w:r w:rsidRPr="008968D3">
        <w:rPr>
          <w:rFonts w:ascii="Bookman Old Style" w:hAnsi="Bookman Old Style"/>
        </w:rPr>
        <w:tab/>
        <w:t>5%</w:t>
      </w:r>
    </w:p>
    <w:p w14:paraId="205E72F8" w14:textId="77777777" w:rsidR="001772AC" w:rsidRPr="008968D3" w:rsidRDefault="001772AC" w:rsidP="001772AC">
      <w:pPr>
        <w:widowControl w:val="0"/>
        <w:spacing w:line="360" w:lineRule="auto"/>
        <w:jc w:val="both"/>
        <w:rPr>
          <w:rFonts w:ascii="Bookman Old Style" w:hAnsi="Bookman Old Style"/>
        </w:rPr>
      </w:pPr>
    </w:p>
    <w:p w14:paraId="626D4F96"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lastRenderedPageBreak/>
        <w:t>SECTION 2.</w:t>
      </w:r>
      <w:r w:rsidRPr="008968D3">
        <w:rPr>
          <w:rFonts w:ascii="Bookman Old Style" w:hAnsi="Bookman Old Style"/>
        </w:rPr>
        <w:tab/>
        <w:t>RESIDENTIALLY DISTRESSED AREA DESIGNATION</w:t>
      </w:r>
    </w:p>
    <w:p w14:paraId="16930FE0" w14:textId="77777777" w:rsidR="001772AC" w:rsidRPr="008968D3" w:rsidRDefault="001772AC" w:rsidP="001772AC">
      <w:pPr>
        <w:widowControl w:val="0"/>
        <w:numPr>
          <w:ilvl w:val="0"/>
          <w:numId w:val="15"/>
        </w:numPr>
        <w:spacing w:after="0" w:line="360" w:lineRule="auto"/>
        <w:ind w:left="0" w:firstLine="0"/>
        <w:jc w:val="both"/>
        <w:rPr>
          <w:rFonts w:ascii="Bookman Old Style" w:hAnsi="Bookman Old Style"/>
          <w:color w:val="000000"/>
        </w:rPr>
      </w:pPr>
      <w:r w:rsidRPr="008968D3">
        <w:rPr>
          <w:rFonts w:ascii="Bookman Old Style" w:hAnsi="Bookman Old Style"/>
          <w:color w:val="000000"/>
        </w:rPr>
        <w:t xml:space="preserve">Upon appropriate request, the Council may, after following the same procedures as required to declare an Economic Revitalization Area, designate as a </w:t>
      </w:r>
      <w:r w:rsidRPr="008968D3">
        <w:rPr>
          <w:rFonts w:ascii="Bookman Old Style" w:hAnsi="Bookman Old Style"/>
          <w:bCs/>
          <w:iCs/>
          <w:color w:val="000000"/>
        </w:rPr>
        <w:t>Residentially Distressed Area,</w:t>
      </w:r>
      <w:r w:rsidRPr="008968D3">
        <w:rPr>
          <w:rFonts w:ascii="Bookman Old Style" w:hAnsi="Bookman Old Style"/>
          <w:color w:val="000000"/>
        </w:rPr>
        <w:t xml:space="preserve"> a </w:t>
      </w:r>
      <w:proofErr w:type="gramStart"/>
      <w:r w:rsidRPr="008968D3">
        <w:rPr>
          <w:rFonts w:ascii="Bookman Old Style" w:hAnsi="Bookman Old Style"/>
          <w:color w:val="000000"/>
        </w:rPr>
        <w:t>particular area</w:t>
      </w:r>
      <w:proofErr w:type="gramEnd"/>
      <w:r w:rsidRPr="008968D3">
        <w:rPr>
          <w:rFonts w:ascii="Bookman Old Style" w:hAnsi="Bookman Old Style"/>
          <w:color w:val="000000"/>
        </w:rPr>
        <w:t xml:space="preserve"> which is located within the corporate limits of the City and meets all the following criteria specified in IC 6-1.1-12.1-2(b):</w:t>
      </w:r>
    </w:p>
    <w:p w14:paraId="22D4CACF"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(1)   The area is comprised of parcels that are either unimproved or contain only one- or two- family dwellings or multi-family dwellings designed for up to four families, including accessory structures for those dwellings;</w:t>
      </w:r>
    </w:p>
    <w:p w14:paraId="58753726"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(2)   Any dwellings in the area are not permanently occupied and are either:</w:t>
      </w:r>
    </w:p>
    <w:p w14:paraId="23D17F61"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w:t>
      </w:r>
      <w:r w:rsidRPr="008968D3">
        <w:rPr>
          <w:rFonts w:ascii="Bookman Old Style" w:hAnsi="Bookman Old Style"/>
          <w:color w:val="000000"/>
        </w:rPr>
        <w:tab/>
        <w:t>(a)   the subject of an order issued under IC 36-7-9; or</w:t>
      </w:r>
    </w:p>
    <w:p w14:paraId="37106629"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w:t>
      </w:r>
      <w:r w:rsidRPr="008968D3">
        <w:rPr>
          <w:rFonts w:ascii="Bookman Old Style" w:hAnsi="Bookman Old Style"/>
          <w:color w:val="000000"/>
        </w:rPr>
        <w:tab/>
        <w:t>(b)   evidencing significant building deficiencies; and</w:t>
      </w:r>
    </w:p>
    <w:p w14:paraId="0B2BF609"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(3)   Parcels of property in the area either:</w:t>
      </w:r>
    </w:p>
    <w:p w14:paraId="308A6128"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w:t>
      </w:r>
      <w:r w:rsidRPr="008968D3">
        <w:rPr>
          <w:rFonts w:ascii="Bookman Old Style" w:hAnsi="Bookman Old Style"/>
          <w:color w:val="000000"/>
        </w:rPr>
        <w:tab/>
        <w:t>(a)   have been sold and not redeemed under IC 6-1.1-25; or</w:t>
      </w:r>
    </w:p>
    <w:p w14:paraId="47BE039D" w14:textId="77777777" w:rsidR="001772AC" w:rsidRPr="008968D3" w:rsidRDefault="001772AC" w:rsidP="001772AC">
      <w:pPr>
        <w:widowControl w:val="0"/>
        <w:spacing w:line="360" w:lineRule="auto"/>
        <w:jc w:val="both"/>
        <w:rPr>
          <w:rFonts w:ascii="Bookman Old Style" w:hAnsi="Bookman Old Style"/>
          <w:color w:val="000000"/>
        </w:rPr>
      </w:pPr>
      <w:r w:rsidRPr="008968D3">
        <w:rPr>
          <w:rFonts w:ascii="Bookman Old Style" w:hAnsi="Bookman Old Style"/>
          <w:color w:val="000000"/>
        </w:rPr>
        <w:t>        </w:t>
      </w:r>
      <w:r w:rsidRPr="008968D3">
        <w:rPr>
          <w:rFonts w:ascii="Bookman Old Style" w:hAnsi="Bookman Old Style"/>
          <w:color w:val="000000"/>
        </w:rPr>
        <w:tab/>
      </w:r>
      <w:r w:rsidRPr="008968D3">
        <w:rPr>
          <w:rFonts w:ascii="Bookman Old Style" w:hAnsi="Bookman Old Style"/>
          <w:color w:val="000000"/>
        </w:rPr>
        <w:tab/>
        <w:t>(b)   are owned by a unit of local government.</w:t>
      </w:r>
    </w:p>
    <w:p w14:paraId="5F9D6DD5" w14:textId="77777777" w:rsidR="001772AC" w:rsidRPr="008968D3" w:rsidRDefault="001772AC" w:rsidP="001772AC">
      <w:pPr>
        <w:widowControl w:val="0"/>
        <w:spacing w:line="360" w:lineRule="auto"/>
        <w:jc w:val="both"/>
        <w:rPr>
          <w:rFonts w:ascii="Bookman Old Style" w:hAnsi="Bookman Old Style"/>
          <w:color w:val="000000"/>
        </w:rPr>
      </w:pPr>
      <w:r w:rsidRPr="008968D3">
        <w:rPr>
          <w:rFonts w:ascii="Bookman Old Style" w:hAnsi="Bookman Old Style"/>
          <w:color w:val="000000"/>
        </w:rPr>
        <w:t>(B)   </w:t>
      </w:r>
      <w:r w:rsidRPr="008968D3">
        <w:rPr>
          <w:rFonts w:ascii="Bookman Old Style" w:hAnsi="Bookman Old Style"/>
          <w:color w:val="000000"/>
        </w:rPr>
        <w:tab/>
        <w:t xml:space="preserve">As an alternative to the findings required by division (A) above, the Council may designate as </w:t>
      </w:r>
      <w:proofErr w:type="gramStart"/>
      <w:r w:rsidRPr="008968D3">
        <w:rPr>
          <w:rFonts w:ascii="Bookman Old Style" w:hAnsi="Bookman Old Style"/>
          <w:color w:val="000000"/>
        </w:rPr>
        <w:t>a  Residentially</w:t>
      </w:r>
      <w:proofErr w:type="gramEnd"/>
      <w:r w:rsidRPr="008968D3">
        <w:rPr>
          <w:rFonts w:ascii="Bookman Old Style" w:hAnsi="Bookman Old Style"/>
          <w:color w:val="000000"/>
        </w:rPr>
        <w:t xml:space="preserve"> Distressed Area, a particular area which is located within the corporate limits of the city and meets all the following alternative criteria specified in IC 6-1.1-12.1-2(c):</w:t>
      </w:r>
    </w:p>
    <w:p w14:paraId="358B6F61"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(1)   A significant number of dwelling units within the area are not permanently occupied or a significant number of parcels in the area are vacant land;</w:t>
      </w:r>
    </w:p>
    <w:p w14:paraId="413C9E66"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(2)   A significant number of dwelling units within the area are either:</w:t>
      </w:r>
    </w:p>
    <w:p w14:paraId="4D9597CE"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w:t>
      </w:r>
      <w:r w:rsidRPr="008968D3">
        <w:rPr>
          <w:rFonts w:ascii="Bookman Old Style" w:hAnsi="Bookman Old Style"/>
          <w:color w:val="000000"/>
        </w:rPr>
        <w:tab/>
        <w:t>(a)   the subject of an order issued under IC 36-7-9; or</w:t>
      </w:r>
    </w:p>
    <w:p w14:paraId="7EED9120"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w:t>
      </w:r>
      <w:r w:rsidRPr="008968D3">
        <w:rPr>
          <w:rFonts w:ascii="Bookman Old Style" w:hAnsi="Bookman Old Style"/>
          <w:color w:val="000000"/>
        </w:rPr>
        <w:tab/>
        <w:t>(b)   evidencing significant building deficiencies;</w:t>
      </w:r>
    </w:p>
    <w:p w14:paraId="7AE569EA"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xml:space="preserve">(3)   The area has experienced a net loss in the number of dwelling units, as documented by census information, local building and demolition permits, or certificates of occupancy, or the area is owned by Indiana or the United States; </w:t>
      </w:r>
      <w:r w:rsidRPr="008968D3">
        <w:rPr>
          <w:rFonts w:ascii="Bookman Old Style" w:hAnsi="Bookman Old Style"/>
          <w:color w:val="000000"/>
        </w:rPr>
        <w:lastRenderedPageBreak/>
        <w:t>and</w:t>
      </w:r>
    </w:p>
    <w:p w14:paraId="4E1D286C"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(4)   The area (plus any areas previously designated under this paragraph) will not exceed 10% of the total area within the Council's jurisdiction.</w:t>
      </w:r>
    </w:p>
    <w:p w14:paraId="4FA49F29" w14:textId="77777777" w:rsidR="001772AC" w:rsidRPr="008968D3" w:rsidRDefault="001772AC" w:rsidP="001772AC">
      <w:pPr>
        <w:widowControl w:val="0"/>
        <w:spacing w:line="360" w:lineRule="auto"/>
        <w:jc w:val="both"/>
        <w:rPr>
          <w:rFonts w:ascii="Bookman Old Style" w:hAnsi="Bookman Old Style"/>
          <w:color w:val="000000"/>
        </w:rPr>
      </w:pPr>
      <w:r w:rsidRPr="008968D3">
        <w:rPr>
          <w:rFonts w:ascii="Bookman Old Style" w:hAnsi="Bookman Old Style"/>
          <w:color w:val="000000"/>
        </w:rPr>
        <w:t>(C)   </w:t>
      </w:r>
      <w:r w:rsidRPr="008968D3">
        <w:rPr>
          <w:rFonts w:ascii="Bookman Old Style" w:hAnsi="Bookman Old Style"/>
          <w:color w:val="000000"/>
        </w:rPr>
        <w:tab/>
        <w:t>Any property designated as a Residentially Distressed Area under paragraphs (A) or (B) above must also fulfill the following obligations for the applicant/taxpayer to receive a deduction:</w:t>
      </w:r>
    </w:p>
    <w:p w14:paraId="797ABF42"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(1)   Dwellings built or rehabilitated on the property must meet local code standards for habitability;</w:t>
      </w:r>
    </w:p>
    <w:p w14:paraId="75083F3C"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(2)   Dwellings must be built or rehabilitated on the property within two years of the date of designation as a residentially distressed area.</w:t>
      </w:r>
    </w:p>
    <w:p w14:paraId="586ECF2A" w14:textId="77777777" w:rsidR="001772AC" w:rsidRPr="008968D3" w:rsidRDefault="001772AC" w:rsidP="001772AC">
      <w:pPr>
        <w:widowControl w:val="0"/>
        <w:spacing w:line="360" w:lineRule="auto"/>
        <w:jc w:val="both"/>
        <w:rPr>
          <w:rFonts w:ascii="Bookman Old Style" w:hAnsi="Bookman Old Style"/>
          <w:color w:val="000000"/>
        </w:rPr>
      </w:pPr>
      <w:r w:rsidRPr="008968D3">
        <w:rPr>
          <w:rFonts w:ascii="Bookman Old Style" w:hAnsi="Bookman Old Style"/>
          <w:color w:val="000000"/>
        </w:rPr>
        <w:t>(D)   </w:t>
      </w:r>
      <w:r w:rsidRPr="008968D3">
        <w:rPr>
          <w:rFonts w:ascii="Bookman Old Style" w:hAnsi="Bookman Old Style"/>
          <w:color w:val="000000"/>
        </w:rPr>
        <w:tab/>
        <w:t>The deduction awarded for property located in a residentially distressed area shall be available for a period of five years. The amount of the deduction the owner of the property is entitled to receive for each particular year equals the product of:</w:t>
      </w:r>
    </w:p>
    <w:p w14:paraId="2E0E6D87"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(1)   The increase in the assessed value resulting from the rehabilitation or redevelopment; multiplied by:</w:t>
      </w:r>
    </w:p>
    <w:p w14:paraId="7A8CA3C3" w14:textId="77777777" w:rsidR="001772AC" w:rsidRPr="008968D3" w:rsidRDefault="001772AC" w:rsidP="001772AC">
      <w:pPr>
        <w:widowControl w:val="0"/>
        <w:spacing w:line="360" w:lineRule="auto"/>
        <w:ind w:left="720"/>
        <w:jc w:val="both"/>
        <w:rPr>
          <w:rFonts w:ascii="Bookman Old Style" w:hAnsi="Bookman Old Style"/>
          <w:color w:val="000000"/>
        </w:rPr>
      </w:pPr>
      <w:r w:rsidRPr="008968D3">
        <w:rPr>
          <w:rFonts w:ascii="Bookman Old Style" w:hAnsi="Bookman Old Style"/>
          <w:color w:val="000000"/>
        </w:rPr>
        <w:t> (2)   The following percentages for each year that the deduction may be taken:</w:t>
      </w:r>
    </w:p>
    <w:p w14:paraId="00737A3D"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Year</w:t>
      </w:r>
      <w:r w:rsidRPr="008968D3">
        <w:rPr>
          <w:rFonts w:ascii="Bookman Old Style" w:hAnsi="Bookman Old Style"/>
        </w:rPr>
        <w:tab/>
        <w:t xml:space="preserve">Percentage </w:t>
      </w:r>
    </w:p>
    <w:p w14:paraId="69251627"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100%</w:t>
      </w:r>
    </w:p>
    <w:p w14:paraId="4ECFC583"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80%</w:t>
      </w:r>
    </w:p>
    <w:p w14:paraId="13D914C0"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3</w:t>
      </w:r>
      <w:r w:rsidRPr="008968D3">
        <w:rPr>
          <w:rFonts w:ascii="Bookman Old Style" w:hAnsi="Bookman Old Style"/>
        </w:rPr>
        <w:tab/>
        <w:t>60%</w:t>
      </w:r>
    </w:p>
    <w:p w14:paraId="09FDBB48"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4</w:t>
      </w:r>
      <w:r w:rsidRPr="008968D3">
        <w:rPr>
          <w:rFonts w:ascii="Bookman Old Style" w:hAnsi="Bookman Old Style"/>
        </w:rPr>
        <w:tab/>
        <w:t>40%</w:t>
      </w:r>
    </w:p>
    <w:p w14:paraId="66066F1A"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5</w:t>
      </w:r>
      <w:r w:rsidRPr="008968D3">
        <w:rPr>
          <w:rFonts w:ascii="Bookman Old Style" w:hAnsi="Bookman Old Style"/>
        </w:rPr>
        <w:tab/>
        <w:t>20%</w:t>
      </w:r>
    </w:p>
    <w:p w14:paraId="1FE13042" w14:textId="77777777" w:rsidR="001772AC" w:rsidRPr="008968D3" w:rsidRDefault="001772AC" w:rsidP="001772AC">
      <w:pPr>
        <w:widowControl w:val="0"/>
        <w:spacing w:line="360" w:lineRule="auto"/>
        <w:ind w:left="720"/>
        <w:jc w:val="both"/>
        <w:rPr>
          <w:rFonts w:ascii="Bookman Old Style" w:hAnsi="Bookman Old Style"/>
        </w:rPr>
      </w:pPr>
    </w:p>
    <w:p w14:paraId="1D051877" w14:textId="77777777" w:rsidR="001772AC" w:rsidRPr="008968D3" w:rsidRDefault="001772AC" w:rsidP="001772AC">
      <w:pPr>
        <w:widowControl w:val="0"/>
        <w:spacing w:line="360" w:lineRule="auto"/>
        <w:jc w:val="both"/>
        <w:rPr>
          <w:rFonts w:ascii="Bookman Old Style" w:hAnsi="Bookman Old Style"/>
          <w:caps/>
        </w:rPr>
      </w:pPr>
      <w:r w:rsidRPr="008968D3">
        <w:rPr>
          <w:rFonts w:ascii="Bookman Old Style" w:hAnsi="Bookman Old Style"/>
          <w:caps/>
        </w:rPr>
        <w:t>Section 3.</w:t>
      </w:r>
      <w:r w:rsidRPr="008968D3">
        <w:rPr>
          <w:rFonts w:ascii="Bookman Old Style" w:hAnsi="Bookman Old Style"/>
          <w:caps/>
        </w:rPr>
        <w:tab/>
        <w:t>Community Benefit Review</w:t>
      </w:r>
    </w:p>
    <w:p w14:paraId="67884174"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lastRenderedPageBreak/>
        <w:t>The Council shall consider all findings of fact pertaining to an application for tax abatement.</w:t>
      </w:r>
    </w:p>
    <w:p w14:paraId="7143F021"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w:t>
      </w:r>
      <w:r w:rsidRPr="008968D3">
        <w:rPr>
          <w:rFonts w:ascii="Bookman Old Style" w:hAnsi="Bookman Old Style"/>
        </w:rPr>
        <w:tab/>
        <w:t xml:space="preserve">The Council, in its deliberations, may, pursuant to I.C. 6-1.1-12.1-2, </w:t>
      </w:r>
      <w:proofErr w:type="gramStart"/>
      <w:r w:rsidRPr="008968D3">
        <w:rPr>
          <w:rFonts w:ascii="Bookman Old Style" w:hAnsi="Bookman Old Style"/>
        </w:rPr>
        <w:t>give consideration to</w:t>
      </w:r>
      <w:proofErr w:type="gramEnd"/>
      <w:r w:rsidRPr="008968D3">
        <w:rPr>
          <w:rFonts w:ascii="Bookman Old Style" w:hAnsi="Bookman Old Style"/>
        </w:rPr>
        <w:t xml:space="preserve"> the following general standards to determine if:</w:t>
      </w:r>
    </w:p>
    <w:p w14:paraId="56601EE5"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the proposed use of the real estate for which a deduction is being sought is consistent with the land use policies contained in the Allen County Comprehensive Plan adopted by the Council;</w:t>
      </w:r>
    </w:p>
    <w:p w14:paraId="408E093D"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the deduction will assist in the inducement of a project that will result in the retention and/or creation of substantial employment opportunities relative to the value of the investment;</w:t>
      </w:r>
    </w:p>
    <w:p w14:paraId="24053F08"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(3)</w:t>
      </w:r>
      <w:r w:rsidRPr="008968D3">
        <w:rPr>
          <w:rFonts w:ascii="Bookman Old Style" w:hAnsi="Bookman Old Style"/>
        </w:rPr>
        <w:tab/>
        <w:t>the deduction will encourage the use of vacant or under-utilized land or improvement or replacement of a deteriorated or obsolete structure designated as appropriate for industrial or commercial development;</w:t>
      </w:r>
    </w:p>
    <w:p w14:paraId="784FCF86"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(4)</w:t>
      </w:r>
      <w:r w:rsidRPr="008968D3">
        <w:rPr>
          <w:rFonts w:ascii="Bookman Old Style" w:hAnsi="Bookman Old Style"/>
        </w:rPr>
        <w:tab/>
        <w:t>the deduction will encourage the improvement or replacement of deteriorated or obsolete manufacturing, research and development, logistical distribution, and information technology equipment;</w:t>
      </w:r>
    </w:p>
    <w:p w14:paraId="28D93BAC"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(5)</w:t>
      </w:r>
      <w:r w:rsidRPr="008968D3">
        <w:rPr>
          <w:rFonts w:ascii="Bookman Old Style" w:hAnsi="Bookman Old Style"/>
        </w:rPr>
        <w:tab/>
        <w:t>the deduction will assist in the inducement of a project which would provide long-term benefits to the tax base of the City and Allen County, Indiana, warranting the granting of abatement.</w:t>
      </w:r>
    </w:p>
    <w:p w14:paraId="30D2EFDB"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(B)</w:t>
      </w:r>
      <w:r w:rsidRPr="008968D3">
        <w:rPr>
          <w:rFonts w:ascii="Bookman Old Style" w:hAnsi="Bookman Old Style"/>
        </w:rPr>
        <w:tab/>
        <w:t>In all instances, the Council shall find that evidence has been provided either in the application or during the public hearing that the real estate proposed for designation is either in an area "which has become undesirable for, or impossible of, normal development and occupancy because of a lack of development, cessation of growth, deterioration of improvements or character of occupancy, age, obsolescence, substandard buildings, or other factors which have impaired values or prevent a normal development of property or use of property" or, "where a facility or a group of facilities that are technologically, economically, or energy obsolete are located and where the obsolescence may lead to a decline in employment and tax revenues" or, when applicable, been found to be a residentially distressed area pursuant to I.C. 6-1.1-12.1-</w:t>
      </w:r>
      <w:r w:rsidRPr="008968D3">
        <w:rPr>
          <w:rFonts w:ascii="Bookman Old Style" w:hAnsi="Bookman Old Style"/>
        </w:rPr>
        <w:lastRenderedPageBreak/>
        <w:t xml:space="preserve">2. </w:t>
      </w:r>
    </w:p>
    <w:p w14:paraId="27486B25"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(C)</w:t>
      </w:r>
      <w:r w:rsidRPr="008968D3">
        <w:rPr>
          <w:rFonts w:ascii="Bookman Old Style" w:hAnsi="Bookman Old Style"/>
        </w:rPr>
        <w:tab/>
        <w:t>The Council shall not consider an application for designation, unless a waiver of noncompliance has been granted pursuant to I.C. 6-1.1-12.1-11.3, if prior to the filing of the application</w:t>
      </w:r>
    </w:p>
    <w:p w14:paraId="204321F7"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 xml:space="preserve">(1) </w:t>
      </w:r>
      <w:r w:rsidRPr="008968D3">
        <w:rPr>
          <w:rFonts w:ascii="Bookman Old Style" w:hAnsi="Bookman Old Style"/>
        </w:rPr>
        <w:tab/>
        <w:t>an Improvement Location Permit has been filed for the project at the Allen County Department of Planning Services,</w:t>
      </w:r>
    </w:p>
    <w:p w14:paraId="4A7ACB0F"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a Building Permit for the subject rehabilitation has been filed for the project at the Allen County Building Department, or</w:t>
      </w:r>
    </w:p>
    <w:p w14:paraId="63CCDF7B"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(3)</w:t>
      </w:r>
      <w:r w:rsidRPr="008968D3">
        <w:rPr>
          <w:rFonts w:ascii="Bookman Old Style" w:hAnsi="Bookman Old Style"/>
        </w:rPr>
        <w:tab/>
        <w:t>when personal property for which a deduction is being sought has been installed (as defined in Indiana Administrative Code Title 50 Department of Local Government Finance, Article 4.2 Assessment of Tangible Personal Property)</w:t>
      </w:r>
    </w:p>
    <w:p w14:paraId="45A65424" w14:textId="77777777" w:rsidR="001772AC" w:rsidRPr="008968D3" w:rsidRDefault="001772AC" w:rsidP="001772AC">
      <w:pPr>
        <w:widowControl w:val="0"/>
        <w:spacing w:line="360" w:lineRule="auto"/>
        <w:jc w:val="both"/>
        <w:rPr>
          <w:rFonts w:ascii="Bookman Old Style" w:hAnsi="Bookman Old Style"/>
        </w:rPr>
      </w:pPr>
    </w:p>
    <w:p w14:paraId="18F6B67B" w14:textId="77777777" w:rsidR="001772AC" w:rsidRPr="008968D3" w:rsidRDefault="001772AC" w:rsidP="001772AC">
      <w:pPr>
        <w:widowControl w:val="0"/>
        <w:spacing w:line="360" w:lineRule="auto"/>
        <w:jc w:val="both"/>
        <w:rPr>
          <w:rFonts w:ascii="Bookman Old Style" w:hAnsi="Bookman Old Style"/>
          <w:caps/>
        </w:rPr>
      </w:pPr>
      <w:r w:rsidRPr="008968D3">
        <w:rPr>
          <w:rFonts w:ascii="Bookman Old Style" w:hAnsi="Bookman Old Style"/>
          <w:caps/>
        </w:rPr>
        <w:t>Section 4.</w:t>
      </w:r>
      <w:r w:rsidRPr="008968D3">
        <w:rPr>
          <w:rFonts w:ascii="Bookman Old Style" w:hAnsi="Bookman Old Style"/>
          <w:caps/>
        </w:rPr>
        <w:tab/>
        <w:t>Compliance with Statement of Benefits (CF-1) Annual Review</w:t>
      </w:r>
      <w:r w:rsidRPr="008968D3">
        <w:rPr>
          <w:rFonts w:ascii="Bookman Old Style" w:hAnsi="Bookman Old Style"/>
          <w:caps/>
        </w:rPr>
        <w:tab/>
      </w:r>
    </w:p>
    <w:p w14:paraId="4BC3588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 xml:space="preserve">The applicant/taxpayer shall provide economic development staff with an annual report (Compliance with Statement of Benefits, Form CF-1) showing the extent to which there has been compliance with the Statement of Benefits (SB-1) form. The CF-1 form must be filed with the Allen County Auditor, the economic development division staff, and the City Clerk Treasurer, according to the filing schedule required by I.C. 6-1.1-12.1-5.1, I.C. 6-1.1-12.1-5.3(j), and I.C. 6-1.1-12.1-5.6. </w:t>
      </w:r>
    </w:p>
    <w:p w14:paraId="20276C8A" w14:textId="77777777" w:rsidR="001772AC" w:rsidRPr="008968D3" w:rsidRDefault="001772AC" w:rsidP="001772AC">
      <w:pPr>
        <w:widowControl w:val="0"/>
        <w:numPr>
          <w:ilvl w:val="0"/>
          <w:numId w:val="6"/>
        </w:numPr>
        <w:spacing w:after="0" w:line="360" w:lineRule="auto"/>
        <w:ind w:hanging="1440"/>
        <w:jc w:val="both"/>
        <w:rPr>
          <w:rFonts w:ascii="Bookman Old Style" w:hAnsi="Bookman Old Style"/>
        </w:rPr>
      </w:pPr>
      <w:r w:rsidRPr="008968D3">
        <w:rPr>
          <w:rFonts w:ascii="Bookman Old Style" w:hAnsi="Bookman Old Style"/>
        </w:rPr>
        <w:t>Economic development division staff shall analyze all CF-1 forms and compile a</w:t>
      </w:r>
    </w:p>
    <w:p w14:paraId="237BA088"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summary sheet and findings of fact to present to the Council from which a determination of substantial compliance or non-compliance will be made.</w:t>
      </w:r>
    </w:p>
    <w:p w14:paraId="58CA564C" w14:textId="77777777" w:rsidR="001772AC" w:rsidRPr="008968D3" w:rsidRDefault="001772AC" w:rsidP="001772AC">
      <w:pPr>
        <w:widowControl w:val="0"/>
        <w:numPr>
          <w:ilvl w:val="0"/>
          <w:numId w:val="6"/>
        </w:numPr>
        <w:spacing w:after="0" w:line="360" w:lineRule="auto"/>
        <w:ind w:left="0" w:firstLine="0"/>
        <w:jc w:val="both"/>
        <w:rPr>
          <w:rFonts w:ascii="Bookman Old Style" w:hAnsi="Bookman Old Style"/>
        </w:rPr>
      </w:pPr>
      <w:r w:rsidRPr="008968D3">
        <w:rPr>
          <w:rFonts w:ascii="Bookman Old Style" w:hAnsi="Bookman Old Style"/>
        </w:rPr>
        <w:t xml:space="preserve">Economic development division staff shall use the following </w:t>
      </w:r>
      <w:r w:rsidRPr="008968D3">
        <w:rPr>
          <w:rFonts w:ascii="Bookman Old Style" w:hAnsi="Bookman Old Style"/>
          <w:u w:val="single"/>
        </w:rPr>
        <w:t>review procedure</w:t>
      </w:r>
      <w:r w:rsidRPr="008968D3">
        <w:rPr>
          <w:rFonts w:ascii="Bookman Old Style" w:hAnsi="Bookman Old Style"/>
        </w:rPr>
        <w:t xml:space="preserve"> of CF-1 forms</w:t>
      </w:r>
    </w:p>
    <w:p w14:paraId="655D9A18" w14:textId="77777777" w:rsidR="001772AC" w:rsidRPr="008968D3" w:rsidRDefault="001772AC" w:rsidP="001772AC">
      <w:pPr>
        <w:widowControl w:val="0"/>
        <w:numPr>
          <w:ilvl w:val="0"/>
          <w:numId w:val="11"/>
        </w:numPr>
        <w:spacing w:after="0" w:line="360" w:lineRule="auto"/>
        <w:ind w:left="720" w:firstLine="0"/>
        <w:jc w:val="both"/>
        <w:rPr>
          <w:rFonts w:ascii="Bookman Old Style" w:hAnsi="Bookman Old Style"/>
        </w:rPr>
      </w:pPr>
      <w:r w:rsidRPr="008968D3">
        <w:rPr>
          <w:rFonts w:ascii="Bookman Old Style" w:hAnsi="Bookman Old Style"/>
        </w:rPr>
        <w:t xml:space="preserve"> The first step in the review process compares the CF-1 form to the Statement of Benefits (SB-1) form approved by Council to find whether the project </w:t>
      </w:r>
      <w:r w:rsidRPr="008968D3">
        <w:rPr>
          <w:rFonts w:ascii="Bookman Old Style" w:hAnsi="Bookman Old Style"/>
        </w:rPr>
        <w:lastRenderedPageBreak/>
        <w:t>substantially complies with the SB-1.  Substantial compliance shall be defined as:</w:t>
      </w:r>
    </w:p>
    <w:p w14:paraId="52ED678E" w14:textId="77777777" w:rsidR="001772AC" w:rsidRPr="008968D3" w:rsidRDefault="001772AC" w:rsidP="001772AC">
      <w:pPr>
        <w:widowControl w:val="0"/>
        <w:numPr>
          <w:ilvl w:val="0"/>
          <w:numId w:val="12"/>
        </w:numPr>
        <w:spacing w:after="0" w:line="360" w:lineRule="auto"/>
        <w:ind w:left="1440" w:firstLine="0"/>
        <w:jc w:val="both"/>
        <w:rPr>
          <w:rFonts w:ascii="Bookman Old Style" w:hAnsi="Bookman Old Style"/>
        </w:rPr>
      </w:pPr>
      <w:r w:rsidRPr="008968D3">
        <w:rPr>
          <w:rFonts w:ascii="Bookman Old Style" w:hAnsi="Bookman Old Style"/>
        </w:rPr>
        <w:t>Creating or retaining at least 75% of the total number of full-time and/or part-time jobs delineated in the approved Statement of Benefits (SB-1) form; and/or;</w:t>
      </w:r>
    </w:p>
    <w:p w14:paraId="78AA8E72" w14:textId="77777777" w:rsidR="001772AC" w:rsidRPr="008968D3" w:rsidRDefault="001772AC" w:rsidP="001772AC">
      <w:pPr>
        <w:widowControl w:val="0"/>
        <w:numPr>
          <w:ilvl w:val="0"/>
          <w:numId w:val="12"/>
        </w:numPr>
        <w:spacing w:after="0" w:line="360" w:lineRule="auto"/>
        <w:ind w:left="1440" w:firstLine="0"/>
        <w:jc w:val="both"/>
        <w:rPr>
          <w:rFonts w:ascii="Bookman Old Style" w:hAnsi="Bookman Old Style"/>
        </w:rPr>
      </w:pPr>
      <w:r w:rsidRPr="008968D3">
        <w:rPr>
          <w:rFonts w:ascii="Bookman Old Style" w:hAnsi="Bookman Old Style"/>
        </w:rPr>
        <w:t>Creating or retaining at least 75% of the total salaries delineated in the approved Statement of Benefits (SB-1) form,</w:t>
      </w:r>
    </w:p>
    <w:p w14:paraId="42279FC7"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within the timeframe projected in the applicant/taxpayer’s approved Statement of Benefits (SB-1) form</w:t>
      </w:r>
    </w:p>
    <w:p w14:paraId="05297295" w14:textId="77777777" w:rsidR="001772AC" w:rsidRPr="008968D3" w:rsidRDefault="001772AC" w:rsidP="001772AC">
      <w:pPr>
        <w:widowControl w:val="0"/>
        <w:numPr>
          <w:ilvl w:val="0"/>
          <w:numId w:val="11"/>
        </w:numPr>
        <w:spacing w:after="0" w:line="360" w:lineRule="auto"/>
        <w:ind w:left="720" w:firstLine="0"/>
        <w:jc w:val="both"/>
        <w:rPr>
          <w:rFonts w:ascii="Bookman Old Style" w:hAnsi="Bookman Old Style"/>
        </w:rPr>
      </w:pPr>
      <w:r w:rsidRPr="008968D3">
        <w:rPr>
          <w:rFonts w:ascii="Bookman Old Style" w:hAnsi="Bookman Old Style"/>
        </w:rPr>
        <w:t xml:space="preserve"> If the project is deemed not to be in substantial compliance in the first step, the staff shall investigate further whether the applicant/taxpayer made a reasonable effort to substantially comply and whether the applicant/taxpayer’s failure to substantially comply was caused by factors beyond their control.  Staff will:</w:t>
      </w:r>
    </w:p>
    <w:p w14:paraId="221D7714" w14:textId="77777777" w:rsidR="001772AC" w:rsidRPr="008968D3" w:rsidRDefault="001772AC" w:rsidP="001772AC">
      <w:pPr>
        <w:widowControl w:val="0"/>
        <w:numPr>
          <w:ilvl w:val="0"/>
          <w:numId w:val="13"/>
        </w:numPr>
        <w:spacing w:after="0" w:line="360" w:lineRule="auto"/>
        <w:ind w:left="1440" w:firstLine="0"/>
        <w:jc w:val="both"/>
        <w:rPr>
          <w:rFonts w:ascii="Bookman Old Style" w:hAnsi="Bookman Old Style"/>
        </w:rPr>
      </w:pPr>
      <w:r w:rsidRPr="008968D3">
        <w:rPr>
          <w:rFonts w:ascii="Bookman Old Style" w:hAnsi="Bookman Old Style"/>
        </w:rPr>
        <w:t xml:space="preserve"> examine whether the investment in real estate or personal property equals or exceeds 75% of the investment delineated in the approved Statement of Benefits (SB-1) form within the projected timeframe; and</w:t>
      </w:r>
    </w:p>
    <w:p w14:paraId="5F6DEF8A" w14:textId="77777777" w:rsidR="001772AC" w:rsidRPr="008968D3" w:rsidRDefault="001772AC" w:rsidP="001772AC">
      <w:pPr>
        <w:widowControl w:val="0"/>
        <w:numPr>
          <w:ilvl w:val="0"/>
          <w:numId w:val="13"/>
        </w:numPr>
        <w:spacing w:after="0" w:line="360" w:lineRule="auto"/>
        <w:ind w:left="1440" w:firstLine="0"/>
        <w:jc w:val="both"/>
        <w:rPr>
          <w:rFonts w:ascii="Bookman Old Style" w:hAnsi="Bookman Old Style"/>
        </w:rPr>
      </w:pPr>
      <w:r w:rsidRPr="008968D3">
        <w:rPr>
          <w:rFonts w:ascii="Bookman Old Style" w:hAnsi="Bookman Old Style"/>
        </w:rPr>
        <w:t>contact the person listed as the contact person on the CF-1 form to seek an explanation as to why the project is not in substantial compliance.  The staff may request the explanation be provided in writing.</w:t>
      </w:r>
    </w:p>
    <w:p w14:paraId="178B6098"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If the staff finds, based on the second step, that the applicant/taxpayer made a reasonable effort to substantially comply, and that the applicant/taxpayer’s failure to substantially comply was caused by factors beyond the control of the applicant/taxpayer, the project will be considered in substantial compliance for purposes of the CF-1 form.  If the staff finds, based on the second step, that the applicant/taxpayer did not make a reasonable effort substantially comply, and that its failure to substantially comply was not caused by factors beyond the applicant/taxpayer’s control, the project will be considered not in substantial compliance for purposed of the CF-1 form.  Staff will provide a report summarizing the staff’s findings to the Council from which the Council can </w:t>
      </w:r>
      <w:proofErr w:type="gramStart"/>
      <w:r w:rsidRPr="008968D3">
        <w:rPr>
          <w:rFonts w:ascii="Bookman Old Style" w:hAnsi="Bookman Old Style"/>
        </w:rPr>
        <w:t>make a determination</w:t>
      </w:r>
      <w:proofErr w:type="gramEnd"/>
      <w:r w:rsidRPr="008968D3">
        <w:rPr>
          <w:rFonts w:ascii="Bookman Old Style" w:hAnsi="Bookman Old Style"/>
        </w:rPr>
        <w:t xml:space="preserve"> as to whether the project should or </w:t>
      </w:r>
      <w:r w:rsidRPr="008968D3">
        <w:rPr>
          <w:rFonts w:ascii="Bookman Old Style" w:hAnsi="Bookman Old Style"/>
        </w:rPr>
        <w:lastRenderedPageBreak/>
        <w:t xml:space="preserve">should not be deemed to be in substantial compliance.  </w:t>
      </w:r>
    </w:p>
    <w:p w14:paraId="59056A6E" w14:textId="77777777" w:rsidR="001772AC" w:rsidRPr="008968D3" w:rsidRDefault="001772AC" w:rsidP="001772AC">
      <w:pPr>
        <w:widowControl w:val="0"/>
        <w:numPr>
          <w:ilvl w:val="0"/>
          <w:numId w:val="6"/>
        </w:numPr>
        <w:spacing w:after="0" w:line="360" w:lineRule="auto"/>
        <w:ind w:left="0" w:firstLine="0"/>
        <w:jc w:val="both"/>
        <w:rPr>
          <w:rFonts w:ascii="Bookman Old Style" w:hAnsi="Bookman Old Style"/>
        </w:rPr>
      </w:pPr>
      <w:r w:rsidRPr="008968D3">
        <w:rPr>
          <w:rFonts w:ascii="Bookman Old Style" w:hAnsi="Bookman Old Style"/>
        </w:rPr>
        <w:t>The Council will review the CF-1 forms using the following criteria</w:t>
      </w:r>
    </w:p>
    <w:p w14:paraId="3FD0D52E" w14:textId="77777777" w:rsidR="001772AC" w:rsidRPr="008968D3" w:rsidRDefault="001772AC" w:rsidP="001772AC">
      <w:pPr>
        <w:widowControl w:val="0"/>
        <w:numPr>
          <w:ilvl w:val="0"/>
          <w:numId w:val="7"/>
        </w:numPr>
        <w:spacing w:after="0" w:line="360" w:lineRule="auto"/>
        <w:ind w:left="720" w:firstLine="0"/>
        <w:jc w:val="both"/>
        <w:rPr>
          <w:rFonts w:ascii="Bookman Old Style" w:hAnsi="Bookman Old Style"/>
        </w:rPr>
      </w:pPr>
      <w:r w:rsidRPr="008968D3">
        <w:rPr>
          <w:rFonts w:ascii="Bookman Old Style" w:hAnsi="Bookman Old Style"/>
        </w:rPr>
        <w:t>Employment</w:t>
      </w:r>
    </w:p>
    <w:p w14:paraId="498F09AC" w14:textId="77777777" w:rsidR="001772AC" w:rsidRPr="008968D3" w:rsidRDefault="001772AC" w:rsidP="001772AC">
      <w:pPr>
        <w:widowControl w:val="0"/>
        <w:numPr>
          <w:ilvl w:val="0"/>
          <w:numId w:val="8"/>
        </w:numPr>
        <w:spacing w:after="0" w:line="360" w:lineRule="auto"/>
        <w:ind w:left="1440" w:firstLine="0"/>
        <w:jc w:val="both"/>
        <w:rPr>
          <w:rFonts w:ascii="Bookman Old Style" w:hAnsi="Bookman Old Style"/>
        </w:rPr>
      </w:pPr>
      <w:r w:rsidRPr="008968D3">
        <w:rPr>
          <w:rFonts w:ascii="Bookman Old Style" w:hAnsi="Bookman Old Style"/>
        </w:rPr>
        <w:t>number of employees retained (jobs retained)</w:t>
      </w:r>
    </w:p>
    <w:p w14:paraId="0F72DBA9" w14:textId="77777777" w:rsidR="001772AC" w:rsidRPr="008968D3" w:rsidRDefault="001772AC" w:rsidP="001772AC">
      <w:pPr>
        <w:widowControl w:val="0"/>
        <w:numPr>
          <w:ilvl w:val="0"/>
          <w:numId w:val="8"/>
        </w:numPr>
        <w:spacing w:after="0" w:line="360" w:lineRule="auto"/>
        <w:ind w:left="1440" w:firstLine="0"/>
        <w:jc w:val="both"/>
        <w:rPr>
          <w:rFonts w:ascii="Bookman Old Style" w:hAnsi="Bookman Old Style"/>
        </w:rPr>
      </w:pPr>
      <w:r w:rsidRPr="008968D3">
        <w:rPr>
          <w:rFonts w:ascii="Bookman Old Style" w:hAnsi="Bookman Old Style"/>
        </w:rPr>
        <w:t>number of additional employees (jobs created)</w:t>
      </w:r>
    </w:p>
    <w:p w14:paraId="4461A382" w14:textId="77777777" w:rsidR="001772AC" w:rsidRPr="008968D3" w:rsidRDefault="001772AC" w:rsidP="001772AC">
      <w:pPr>
        <w:widowControl w:val="0"/>
        <w:numPr>
          <w:ilvl w:val="0"/>
          <w:numId w:val="7"/>
        </w:numPr>
        <w:spacing w:after="0" w:line="360" w:lineRule="auto"/>
        <w:ind w:left="720" w:firstLine="0"/>
        <w:jc w:val="both"/>
        <w:rPr>
          <w:rFonts w:ascii="Bookman Old Style" w:hAnsi="Bookman Old Style"/>
        </w:rPr>
      </w:pPr>
      <w:r w:rsidRPr="008968D3">
        <w:rPr>
          <w:rFonts w:ascii="Bookman Old Style" w:hAnsi="Bookman Old Style"/>
        </w:rPr>
        <w:t>Salaries</w:t>
      </w:r>
    </w:p>
    <w:p w14:paraId="70CA8625" w14:textId="77777777" w:rsidR="001772AC" w:rsidRPr="008968D3" w:rsidRDefault="001772AC" w:rsidP="001772AC">
      <w:pPr>
        <w:widowControl w:val="0"/>
        <w:numPr>
          <w:ilvl w:val="0"/>
          <w:numId w:val="9"/>
        </w:numPr>
        <w:spacing w:after="0" w:line="360" w:lineRule="auto"/>
        <w:ind w:left="1440" w:firstLine="0"/>
        <w:jc w:val="both"/>
        <w:rPr>
          <w:rFonts w:ascii="Bookman Old Style" w:hAnsi="Bookman Old Style"/>
        </w:rPr>
      </w:pPr>
      <w:r w:rsidRPr="008968D3">
        <w:rPr>
          <w:rFonts w:ascii="Bookman Old Style" w:hAnsi="Bookman Old Style"/>
        </w:rPr>
        <w:t>salaries of employees retained (Salaries Retained)</w:t>
      </w:r>
    </w:p>
    <w:p w14:paraId="24892411" w14:textId="77777777" w:rsidR="001772AC" w:rsidRPr="008968D3" w:rsidRDefault="001772AC" w:rsidP="001772AC">
      <w:pPr>
        <w:widowControl w:val="0"/>
        <w:numPr>
          <w:ilvl w:val="0"/>
          <w:numId w:val="9"/>
        </w:numPr>
        <w:spacing w:after="0" w:line="360" w:lineRule="auto"/>
        <w:ind w:left="1440" w:firstLine="0"/>
        <w:jc w:val="both"/>
        <w:rPr>
          <w:rFonts w:ascii="Bookman Old Style" w:hAnsi="Bookman Old Style"/>
        </w:rPr>
      </w:pPr>
      <w:r w:rsidRPr="008968D3">
        <w:rPr>
          <w:rFonts w:ascii="Bookman Old Style" w:hAnsi="Bookman Old Style"/>
        </w:rPr>
        <w:t>salaries of additional employees (Salaries Created)</w:t>
      </w:r>
    </w:p>
    <w:p w14:paraId="3C3965EF" w14:textId="77777777" w:rsidR="001772AC" w:rsidRPr="008968D3" w:rsidRDefault="001772AC" w:rsidP="001772AC">
      <w:pPr>
        <w:widowControl w:val="0"/>
        <w:numPr>
          <w:ilvl w:val="0"/>
          <w:numId w:val="7"/>
        </w:numPr>
        <w:spacing w:after="0" w:line="360" w:lineRule="auto"/>
        <w:ind w:left="720" w:firstLine="0"/>
        <w:jc w:val="both"/>
        <w:rPr>
          <w:rFonts w:ascii="Bookman Old Style" w:hAnsi="Bookman Old Style"/>
        </w:rPr>
      </w:pPr>
      <w:r w:rsidRPr="008968D3">
        <w:rPr>
          <w:rFonts w:ascii="Bookman Old Style" w:hAnsi="Bookman Old Style"/>
        </w:rPr>
        <w:t>Investment (Values of Proposed Project)</w:t>
      </w:r>
    </w:p>
    <w:p w14:paraId="01085FCA" w14:textId="77777777" w:rsidR="001772AC" w:rsidRPr="008968D3" w:rsidRDefault="001772AC" w:rsidP="001772AC">
      <w:pPr>
        <w:widowControl w:val="0"/>
        <w:numPr>
          <w:ilvl w:val="0"/>
          <w:numId w:val="10"/>
        </w:numPr>
        <w:spacing w:after="0" w:line="360" w:lineRule="auto"/>
        <w:ind w:left="1440" w:firstLine="0"/>
        <w:jc w:val="both"/>
        <w:rPr>
          <w:rFonts w:ascii="Bookman Old Style" w:hAnsi="Bookman Old Style"/>
        </w:rPr>
      </w:pPr>
      <w:r w:rsidRPr="008968D3">
        <w:rPr>
          <w:rFonts w:ascii="Bookman Old Style" w:hAnsi="Bookman Old Style"/>
        </w:rPr>
        <w:t>real estate: cost of real estate improvements</w:t>
      </w:r>
    </w:p>
    <w:p w14:paraId="394F7351" w14:textId="77777777" w:rsidR="001772AC" w:rsidRPr="008968D3" w:rsidRDefault="001772AC" w:rsidP="001772AC">
      <w:pPr>
        <w:widowControl w:val="0"/>
        <w:numPr>
          <w:ilvl w:val="0"/>
          <w:numId w:val="10"/>
        </w:numPr>
        <w:spacing w:after="0" w:line="360" w:lineRule="auto"/>
        <w:ind w:left="1440" w:firstLine="0"/>
        <w:jc w:val="both"/>
        <w:rPr>
          <w:rFonts w:ascii="Bookman Old Style" w:hAnsi="Bookman Old Style"/>
        </w:rPr>
      </w:pPr>
      <w:r w:rsidRPr="008968D3">
        <w:rPr>
          <w:rFonts w:ascii="Bookman Old Style" w:hAnsi="Bookman Old Style"/>
        </w:rPr>
        <w:t>personal property: cost of new manufacturing, new research and development, new logistical distribution and new information technology equipment</w:t>
      </w:r>
    </w:p>
    <w:p w14:paraId="3807C757" w14:textId="77777777" w:rsidR="001772AC" w:rsidRPr="008968D3" w:rsidRDefault="001772AC" w:rsidP="001772AC">
      <w:pPr>
        <w:widowControl w:val="0"/>
        <w:numPr>
          <w:ilvl w:val="0"/>
          <w:numId w:val="6"/>
        </w:numPr>
        <w:spacing w:after="0" w:line="360" w:lineRule="auto"/>
        <w:ind w:left="0" w:firstLine="0"/>
        <w:jc w:val="both"/>
        <w:rPr>
          <w:rFonts w:ascii="Bookman Old Style" w:hAnsi="Bookman Old Style"/>
        </w:rPr>
      </w:pPr>
      <w:r w:rsidRPr="008968D3">
        <w:rPr>
          <w:rFonts w:ascii="Bookman Old Style" w:hAnsi="Bookman Old Style"/>
        </w:rPr>
        <w:t xml:space="preserve">State law provides that within forty-five (45) days after an applicant/taxpayer files a CF-1 form, the Council shall determine whether the applicant/taxpayer has substantially complied with the Statement of Benefits (SB-1) form.  Those forms that are found by the staff not to be in substantial compliance will be brought to the attention of the Council first for the Council to determine what further action is necessary.  However, since the forty-five (45) day time period only limits the Council’s ability to pursue terminating a deduction, those that are found to </w:t>
      </w:r>
      <w:proofErr w:type="gramStart"/>
      <w:r w:rsidRPr="008968D3">
        <w:rPr>
          <w:rFonts w:ascii="Bookman Old Style" w:hAnsi="Bookman Old Style"/>
        </w:rPr>
        <w:t>be in compliance</w:t>
      </w:r>
      <w:proofErr w:type="gramEnd"/>
      <w:r w:rsidRPr="008968D3">
        <w:rPr>
          <w:rFonts w:ascii="Bookman Old Style" w:hAnsi="Bookman Old Style"/>
        </w:rPr>
        <w:t xml:space="preserve"> will be submitted for formal approval with a final report following the end of the filing period.  </w:t>
      </w:r>
    </w:p>
    <w:p w14:paraId="1D771C8A" w14:textId="77777777" w:rsidR="001772AC" w:rsidRPr="008968D3" w:rsidRDefault="001772AC" w:rsidP="001772AC">
      <w:pPr>
        <w:widowControl w:val="0"/>
        <w:numPr>
          <w:ilvl w:val="0"/>
          <w:numId w:val="6"/>
        </w:numPr>
        <w:spacing w:after="0" w:line="360" w:lineRule="auto"/>
        <w:ind w:left="0" w:firstLine="0"/>
        <w:jc w:val="both"/>
        <w:rPr>
          <w:rFonts w:ascii="Bookman Old Style" w:hAnsi="Bookman Old Style"/>
        </w:rPr>
      </w:pPr>
      <w:r w:rsidRPr="008968D3">
        <w:rPr>
          <w:rFonts w:ascii="Bookman Old Style" w:hAnsi="Bookman Old Style"/>
        </w:rPr>
        <w:t xml:space="preserve">If an applicant/taxpayer fails to file a CF-1 form by the filing deadline, fails to file a CF-1 form that provides sufficient information (as determined by staff) to determine substantial compliance, or the circumstances are such that the staff has information indicating that the information provided on the CF-1 form may be inaccurate, the staff will make a reasonable effort to contact the applicant/taxpayer to obtain a complete and accurate CF-1 form. If the applicant/taxpayer still fails to provide a complete and accurate CF-1 form, then the staff will bring the failure to the attention of the Council for the Council to determine whether the project should be deemed not to be in substantial compliance.  The staff, working with the Allen County Auditor’s Office, will monitor applicants/taxpayers who have receive a SB-1 approval from the Council and who are eligible to receive a tax abatement deduction, to facilitate the timely and </w:t>
      </w:r>
      <w:r w:rsidRPr="008968D3">
        <w:rPr>
          <w:rFonts w:ascii="Bookman Old Style" w:hAnsi="Bookman Old Style"/>
        </w:rPr>
        <w:lastRenderedPageBreak/>
        <w:t>accurate submission of CF-1 forms.</w:t>
      </w:r>
    </w:p>
    <w:p w14:paraId="7D8E9BFE" w14:textId="77777777" w:rsidR="001772AC" w:rsidRPr="008968D3" w:rsidRDefault="001772AC" w:rsidP="001772AC">
      <w:pPr>
        <w:widowControl w:val="0"/>
        <w:numPr>
          <w:ilvl w:val="0"/>
          <w:numId w:val="6"/>
        </w:numPr>
        <w:spacing w:after="0" w:line="360" w:lineRule="auto"/>
        <w:ind w:left="0" w:firstLine="0"/>
        <w:jc w:val="both"/>
        <w:rPr>
          <w:rFonts w:ascii="Bookman Old Style" w:hAnsi="Bookman Old Style"/>
        </w:rPr>
      </w:pPr>
      <w:r w:rsidRPr="008968D3">
        <w:rPr>
          <w:rFonts w:ascii="Bookman Old Style" w:hAnsi="Bookman Old Style"/>
        </w:rPr>
        <w:t xml:space="preserve"> The staff’s determination that the project fails to substantially comply with a Statement of Benefits does not necessarily mean that the abatement will be rescinded. If the Council, based on the information provided by the staff, determines that a project is not in substantial compliance, the staff will mail official notification to the applicant/taxpayer and schedule a hearing with the Council pursuant to I.C. 6-1.1-12.1-5.9.  The hearing will be held within thirty (30) days after the date on which the notice is mailed.  </w:t>
      </w:r>
    </w:p>
    <w:p w14:paraId="63035283" w14:textId="77777777" w:rsidR="001772AC" w:rsidRPr="008968D3" w:rsidRDefault="001772AC" w:rsidP="001772AC">
      <w:pPr>
        <w:widowControl w:val="0"/>
        <w:numPr>
          <w:ilvl w:val="0"/>
          <w:numId w:val="6"/>
        </w:numPr>
        <w:spacing w:after="0" w:line="360" w:lineRule="auto"/>
        <w:ind w:left="0" w:firstLine="0"/>
        <w:jc w:val="both"/>
        <w:rPr>
          <w:rFonts w:ascii="Bookman Old Style" w:hAnsi="Bookman Old Style"/>
        </w:rPr>
      </w:pPr>
      <w:r w:rsidRPr="008968D3">
        <w:rPr>
          <w:rFonts w:ascii="Bookman Old Style" w:hAnsi="Bookman Old Style"/>
        </w:rPr>
        <w:t>Based on the evidence presented at the hearing by the applicant/taxpayer and other interested parties, the Council shall determine whether the applicant/taxpayer has made reasonable efforts to substantially comply with the Statement of Benefits and, whether any failure to substantially comply was caused by factors beyond the control of the applicant/taxpayer.  If the Council determines that the applicant/taxpayer has not made reasonable efforts to comply with the Statement of Benefits, the Council shall adopt a resolution terminating the applicant/taxpayer’s deduction under the authority of I.C. 6-1.1-12.1-5.9(c).</w:t>
      </w:r>
    </w:p>
    <w:p w14:paraId="11815385" w14:textId="77777777" w:rsidR="001772AC" w:rsidRPr="008968D3" w:rsidRDefault="001772AC" w:rsidP="001772AC">
      <w:pPr>
        <w:widowControl w:val="0"/>
        <w:numPr>
          <w:ilvl w:val="0"/>
          <w:numId w:val="6"/>
        </w:numPr>
        <w:spacing w:after="0" w:line="360" w:lineRule="auto"/>
        <w:ind w:left="0" w:firstLine="0"/>
        <w:jc w:val="both"/>
        <w:rPr>
          <w:rFonts w:ascii="Bookman Old Style" w:hAnsi="Bookman Old Style"/>
        </w:rPr>
      </w:pPr>
      <w:r w:rsidRPr="008968D3">
        <w:rPr>
          <w:rFonts w:ascii="Bookman Old Style" w:hAnsi="Bookman Old Style"/>
        </w:rPr>
        <w:t>An applicant/taxpayer (or, in the case of a deduction for an eligible vacant building, the applicant/taxpayer or tenant of the applicant/taxpayer) that has received a deduction for real property or personal property and:</w:t>
      </w:r>
    </w:p>
    <w:p w14:paraId="296DC652" w14:textId="77777777" w:rsidR="001772AC" w:rsidRPr="008968D3" w:rsidRDefault="001772AC" w:rsidP="001772AC">
      <w:pPr>
        <w:widowControl w:val="0"/>
        <w:spacing w:line="360" w:lineRule="auto"/>
        <w:ind w:firstLine="720"/>
        <w:jc w:val="both"/>
        <w:rPr>
          <w:rFonts w:ascii="Bookman Old Style" w:hAnsi="Bookman Old Style"/>
        </w:rPr>
      </w:pPr>
      <w:r w:rsidRPr="008968D3">
        <w:rPr>
          <w:rFonts w:ascii="Bookman Old Style" w:hAnsi="Bookman Old Style"/>
        </w:rPr>
        <w:t xml:space="preserve">(1) </w:t>
      </w:r>
      <w:r w:rsidRPr="008968D3">
        <w:rPr>
          <w:rFonts w:ascii="Bookman Old Style" w:hAnsi="Bookman Old Style"/>
        </w:rPr>
        <w:tab/>
        <w:t>ceases operations at the facility for which the deduction was granted; and</w:t>
      </w:r>
    </w:p>
    <w:p w14:paraId="735E09AF" w14:textId="77777777" w:rsidR="001772AC" w:rsidRPr="008968D3" w:rsidRDefault="001772AC" w:rsidP="001772AC">
      <w:pPr>
        <w:widowControl w:val="0"/>
        <w:numPr>
          <w:ilvl w:val="0"/>
          <w:numId w:val="14"/>
        </w:numPr>
        <w:spacing w:after="0" w:line="360" w:lineRule="auto"/>
        <w:ind w:firstLine="0"/>
        <w:jc w:val="both"/>
        <w:rPr>
          <w:rFonts w:ascii="Bookman Old Style" w:hAnsi="Bookman Old Style"/>
        </w:rPr>
      </w:pPr>
      <w:r w:rsidRPr="008968D3">
        <w:rPr>
          <w:rFonts w:ascii="Bookman Old Style" w:hAnsi="Bookman Old Style"/>
        </w:rPr>
        <w:t>is found to have intentionally provided false information concerning plans to continue operations at the facility,</w:t>
      </w:r>
    </w:p>
    <w:p w14:paraId="79A66CDE"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 xml:space="preserve">may be required to repay to the Allen County Treasurer, under the authority of I.C. 6-1.1-12.1-12, those property taxes that were deducted, if the Council has adopted a resolution incorporating the provisions of that section for the Economic Revitalization Area.  </w:t>
      </w:r>
    </w:p>
    <w:p w14:paraId="00AB68E1" w14:textId="77777777" w:rsidR="001772AC" w:rsidRPr="008968D3" w:rsidRDefault="001772AC" w:rsidP="001772AC">
      <w:pPr>
        <w:widowControl w:val="0"/>
        <w:spacing w:line="360" w:lineRule="auto"/>
        <w:jc w:val="both"/>
        <w:rPr>
          <w:rFonts w:ascii="Bookman Old Style" w:hAnsi="Bookman Old Style"/>
          <w:caps/>
        </w:rPr>
      </w:pPr>
    </w:p>
    <w:p w14:paraId="4AE32653" w14:textId="77777777" w:rsidR="001772AC" w:rsidRPr="008968D3" w:rsidRDefault="001772AC" w:rsidP="001772AC">
      <w:pPr>
        <w:widowControl w:val="0"/>
        <w:spacing w:line="360" w:lineRule="auto"/>
        <w:jc w:val="both"/>
        <w:rPr>
          <w:rFonts w:ascii="Bookman Old Style" w:hAnsi="Bookman Old Style"/>
          <w:caps/>
        </w:rPr>
      </w:pPr>
      <w:r w:rsidRPr="008968D3">
        <w:rPr>
          <w:rFonts w:ascii="Bookman Old Style" w:hAnsi="Bookman Old Style"/>
          <w:caps/>
        </w:rPr>
        <w:t xml:space="preserve">Section 5. </w:t>
      </w:r>
      <w:r w:rsidRPr="008968D3">
        <w:rPr>
          <w:rFonts w:ascii="Bookman Old Style" w:hAnsi="Bookman Old Style"/>
          <w:caps/>
        </w:rPr>
        <w:tab/>
        <w:t>Waivers of Noncompliance</w:t>
      </w:r>
      <w:r w:rsidRPr="008968D3">
        <w:rPr>
          <w:rFonts w:ascii="Bookman Old Style" w:hAnsi="Bookman Old Style"/>
          <w:caps/>
        </w:rPr>
        <w:tab/>
      </w:r>
    </w:p>
    <w:p w14:paraId="07422CE7"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w:t>
      </w:r>
      <w:r w:rsidRPr="008968D3">
        <w:rPr>
          <w:rFonts w:ascii="Bookman Old Style" w:hAnsi="Bookman Old Style"/>
        </w:rPr>
        <w:tab/>
        <w:t>Indiana State law I.C. 6-1.1-12.1-9.5 and 6-1.1-12.1-11.3, allows the designating body waive noncompliance for the following:</w:t>
      </w:r>
    </w:p>
    <w:p w14:paraId="10C14455"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lastRenderedPageBreak/>
        <w:t>(1)</w:t>
      </w:r>
      <w:r w:rsidRPr="008968D3">
        <w:rPr>
          <w:rFonts w:ascii="Bookman Old Style" w:hAnsi="Bookman Old Style"/>
        </w:rPr>
        <w:tab/>
        <w:t>failure to submit a statement of benefits prior to a public hearing,</w:t>
      </w:r>
    </w:p>
    <w:p w14:paraId="61671D03"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failure to designate an economic revitalization area (ERA) or submit a statement of benefits prior to construction of a facility and/or installation of equipment,</w:t>
      </w:r>
    </w:p>
    <w:p w14:paraId="4BD0D567"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(3)</w:t>
      </w:r>
      <w:r w:rsidRPr="008968D3">
        <w:rPr>
          <w:rFonts w:ascii="Bookman Old Style" w:hAnsi="Bookman Old Style"/>
        </w:rPr>
        <w:tab/>
        <w:t>failure to make the necessary findings of fact as required in I.C. 6-1.1-12.1-2, 3, 4.5 or 4.8 before designating an area as an ERA or authorizing a deduction for new equipment,</w:t>
      </w:r>
    </w:p>
    <w:p w14:paraId="2597BE0A"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(4)</w:t>
      </w:r>
      <w:r w:rsidRPr="008968D3">
        <w:rPr>
          <w:rFonts w:ascii="Bookman Old Style" w:hAnsi="Bookman Old Style"/>
        </w:rPr>
        <w:tab/>
        <w:t>failure to file a timely and complete deduction application as required by I.C. 6-1.1-12.1-5, 5.3 and 5.4,</w:t>
      </w:r>
    </w:p>
    <w:p w14:paraId="49625582"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(B)</w:t>
      </w:r>
      <w:r w:rsidRPr="008968D3">
        <w:rPr>
          <w:rFonts w:ascii="Bookman Old Style" w:hAnsi="Bookman Old Style"/>
        </w:rPr>
        <w:tab/>
        <w:t xml:space="preserve">Waivers of noncompliance should only be considered for those applicants/taxpayers in compliance with local and state governmental entities.  </w:t>
      </w:r>
    </w:p>
    <w:p w14:paraId="5C7727D4"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 xml:space="preserve">Applicants/taxpayers must verify that they are not delinquent on any taxes owed (property, income or sales), their Compliance with Statement of Benefits (CF-1) form/s have been filed on time and are substantially compliant, and there are no outstanding state or federal environmental issues.  </w:t>
      </w:r>
    </w:p>
    <w:p w14:paraId="623FD46B"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Staff will verify and affirm that applicants/taxpayers have met all above criteria.</w:t>
      </w:r>
    </w:p>
    <w:p w14:paraId="45C4F5FF"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(C)</w:t>
      </w:r>
      <w:r w:rsidRPr="008968D3">
        <w:rPr>
          <w:rFonts w:ascii="Bookman Old Style" w:hAnsi="Bookman Old Style"/>
        </w:rPr>
        <w:tab/>
        <w:t xml:space="preserve">For an applicant/taxpayer to begin the waiver process, the applicant/taxpayer must first contact economic development division staff in the Allen County Department of Planning Services.  </w:t>
      </w:r>
    </w:p>
    <w:p w14:paraId="301E0B68"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(1)</w:t>
      </w:r>
      <w:r w:rsidRPr="008968D3">
        <w:rPr>
          <w:rFonts w:ascii="Bookman Old Style" w:hAnsi="Bookman Old Style"/>
        </w:rPr>
        <w:tab/>
        <w:t xml:space="preserve">If staff determines that a waiver is needed, a formal request from the applicant/taxpayer should be made in writing explaining the circumstance(s).  </w:t>
      </w:r>
    </w:p>
    <w:p w14:paraId="0BA87179"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(2)</w:t>
      </w:r>
      <w:r w:rsidRPr="008968D3">
        <w:rPr>
          <w:rFonts w:ascii="Bookman Old Style" w:hAnsi="Bookman Old Style"/>
        </w:rPr>
        <w:tab/>
        <w:t>The applicant/taxpayer will also need to address the steps needed to correct the problem and the actions the applicant/taxpayer will take to correct further problems from occurring.</w:t>
      </w:r>
    </w:p>
    <w:p w14:paraId="5815D685"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(D)</w:t>
      </w:r>
      <w:r w:rsidRPr="008968D3">
        <w:rPr>
          <w:rFonts w:ascii="Bookman Old Style" w:hAnsi="Bookman Old Style"/>
        </w:rPr>
        <w:tab/>
        <w:t>The following procedures shall be followed:</w:t>
      </w:r>
    </w:p>
    <w:p w14:paraId="58D3828F" w14:textId="77777777" w:rsidR="001772AC" w:rsidRPr="008968D3" w:rsidRDefault="001772AC" w:rsidP="001772AC">
      <w:pPr>
        <w:widowControl w:val="0"/>
        <w:spacing w:line="360" w:lineRule="auto"/>
        <w:ind w:left="720"/>
        <w:jc w:val="both"/>
        <w:rPr>
          <w:rFonts w:ascii="Bookman Old Style" w:hAnsi="Bookman Old Style"/>
        </w:rPr>
      </w:pPr>
      <w:r w:rsidRPr="008968D3">
        <w:rPr>
          <w:rFonts w:ascii="Bookman Old Style" w:hAnsi="Bookman Old Style"/>
        </w:rPr>
        <w:t xml:space="preserve">(1)  </w:t>
      </w:r>
      <w:r w:rsidRPr="008968D3">
        <w:rPr>
          <w:rFonts w:ascii="Bookman Old Style" w:hAnsi="Bookman Old Style"/>
        </w:rPr>
        <w:tab/>
        <w:t xml:space="preserve">Waiver of noncompliance for failure to file timely application and </w:t>
      </w:r>
      <w:r w:rsidRPr="008968D3">
        <w:rPr>
          <w:rFonts w:ascii="Bookman Old Style" w:hAnsi="Bookman Old Style"/>
        </w:rPr>
        <w:lastRenderedPageBreak/>
        <w:t xml:space="preserve">Statement of Benefits (SB-1) form/s </w:t>
      </w:r>
    </w:p>
    <w:p w14:paraId="45448469"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(a)</w:t>
      </w:r>
      <w:r w:rsidRPr="008968D3">
        <w:rPr>
          <w:rFonts w:ascii="Bookman Old Style" w:hAnsi="Bookman Old Style"/>
        </w:rPr>
        <w:tab/>
        <w:t>For personal property, waivers will only be considered on equipment installed within one month prior to date application is received.</w:t>
      </w:r>
    </w:p>
    <w:p w14:paraId="70988F87"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(b)</w:t>
      </w:r>
      <w:r w:rsidRPr="008968D3">
        <w:rPr>
          <w:rFonts w:ascii="Bookman Old Style" w:hAnsi="Bookman Old Style"/>
        </w:rPr>
        <w:tab/>
        <w:t>For real property, waivers will only be considered on applications where an applicant/taxpayer has applied for an Improvement Location Permit/Structural Permit one month prior to date application is received.</w:t>
      </w:r>
    </w:p>
    <w:p w14:paraId="27C710A7"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(c)</w:t>
      </w:r>
      <w:r w:rsidRPr="008968D3">
        <w:rPr>
          <w:rFonts w:ascii="Bookman Old Style" w:hAnsi="Bookman Old Style"/>
        </w:rPr>
        <w:tab/>
        <w:t>A fee of $500 will be required to offset the costs incurred.</w:t>
      </w:r>
    </w:p>
    <w:p w14:paraId="1AD68BA5"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 xml:space="preserve">(2)  </w:t>
      </w:r>
      <w:r w:rsidRPr="008968D3">
        <w:rPr>
          <w:rFonts w:ascii="Bookman Old Style" w:hAnsi="Bookman Old Style"/>
        </w:rPr>
        <w:tab/>
        <w:t>Waiver of noncompliance for failure to file timely deduction paperwork</w:t>
      </w:r>
    </w:p>
    <w:p w14:paraId="33B7FC87"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(a) </w:t>
      </w:r>
      <w:r w:rsidRPr="008968D3">
        <w:rPr>
          <w:rFonts w:ascii="Bookman Old Style" w:hAnsi="Bookman Old Style"/>
        </w:rPr>
        <w:tab/>
        <w:t xml:space="preserve"> Personal property waivers will only be considered for failure to file 103-ERA and 103-EL paperwork within the last twelve (12) months or one year</w:t>
      </w:r>
    </w:p>
    <w:p w14:paraId="345F9ABD"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(b)  </w:t>
      </w:r>
      <w:r w:rsidRPr="008968D3">
        <w:rPr>
          <w:rFonts w:ascii="Bookman Old Style" w:hAnsi="Bookman Old Style"/>
        </w:rPr>
        <w:tab/>
        <w:t xml:space="preserve">Real property waivers will only be considered for failure to file Form 322/RE within the last twelve (12) months or one year.  </w:t>
      </w:r>
    </w:p>
    <w:p w14:paraId="52C01A61"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(c)</w:t>
      </w:r>
      <w:r w:rsidRPr="008968D3">
        <w:rPr>
          <w:rFonts w:ascii="Bookman Old Style" w:hAnsi="Bookman Old Style"/>
        </w:rPr>
        <w:tab/>
        <w:t>The Council may not grant waivers for applicants/taxpayers who have failed to file deduction paperwork more than once during the deduction period.</w:t>
      </w:r>
    </w:p>
    <w:p w14:paraId="2EC0CD49"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r>
      <w:r w:rsidRPr="008968D3">
        <w:rPr>
          <w:rFonts w:ascii="Bookman Old Style" w:hAnsi="Bookman Old Style"/>
        </w:rPr>
        <w:tab/>
        <w:t>(d)</w:t>
      </w:r>
      <w:r w:rsidRPr="008968D3">
        <w:rPr>
          <w:rFonts w:ascii="Bookman Old Style" w:hAnsi="Bookman Old Style"/>
        </w:rPr>
        <w:tab/>
        <w:t xml:space="preserve">A fee of $500 will be required to offset the costs incurred. </w:t>
      </w:r>
    </w:p>
    <w:p w14:paraId="35903F6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t>(3)</w:t>
      </w:r>
      <w:proofErr w:type="gramStart"/>
      <w:r w:rsidRPr="008968D3">
        <w:rPr>
          <w:rFonts w:ascii="Bookman Old Style" w:hAnsi="Bookman Old Style"/>
        </w:rPr>
        <w:tab/>
        <w:t xml:space="preserve">  Waivers</w:t>
      </w:r>
      <w:proofErr w:type="gramEnd"/>
      <w:r w:rsidRPr="008968D3">
        <w:rPr>
          <w:rFonts w:ascii="Bookman Old Style" w:hAnsi="Bookman Old Style"/>
        </w:rPr>
        <w:t xml:space="preserve"> of noncompliance for clerical errors</w:t>
      </w:r>
    </w:p>
    <w:p w14:paraId="79DC98F2"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 xml:space="preserve">(a)  </w:t>
      </w:r>
      <w:r w:rsidRPr="008968D3">
        <w:rPr>
          <w:rFonts w:ascii="Bookman Old Style" w:hAnsi="Bookman Old Style"/>
        </w:rPr>
        <w:tab/>
        <w:t>Personal property waivers will only be considered on clerical errors made by the applicant/taxpayer that affect the proper reporting of project location, project or investment timeframe, and cost of investment.</w:t>
      </w:r>
    </w:p>
    <w:p w14:paraId="1EE46FE8" w14:textId="77777777" w:rsidR="001772AC" w:rsidRPr="008968D3" w:rsidRDefault="001772AC" w:rsidP="001772AC">
      <w:pPr>
        <w:widowControl w:val="0"/>
        <w:spacing w:line="360" w:lineRule="auto"/>
        <w:ind w:left="1440"/>
        <w:jc w:val="both"/>
        <w:rPr>
          <w:rFonts w:ascii="Bookman Old Style" w:hAnsi="Bookman Old Style"/>
        </w:rPr>
      </w:pPr>
      <w:r w:rsidRPr="008968D3">
        <w:rPr>
          <w:rFonts w:ascii="Bookman Old Style" w:hAnsi="Bookman Old Style"/>
        </w:rPr>
        <w:t>(b)</w:t>
      </w:r>
      <w:r w:rsidRPr="008968D3">
        <w:rPr>
          <w:rFonts w:ascii="Bookman Old Style" w:hAnsi="Bookman Old Style"/>
        </w:rPr>
        <w:tab/>
        <w:t>Real property waivers will only be considered on clerical errors made by the applicant/taxpayer that affect the proper reporting of project location, project or investment timeframe, and cost of investment.</w:t>
      </w:r>
    </w:p>
    <w:p w14:paraId="3CA5D1A7"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b/>
      </w:r>
      <w:r w:rsidRPr="008968D3">
        <w:rPr>
          <w:rFonts w:ascii="Bookman Old Style" w:hAnsi="Bookman Old Style"/>
        </w:rPr>
        <w:tab/>
        <w:t>(c)</w:t>
      </w:r>
      <w:r w:rsidRPr="008968D3">
        <w:rPr>
          <w:rFonts w:ascii="Bookman Old Style" w:hAnsi="Bookman Old Style"/>
        </w:rPr>
        <w:tab/>
        <w:t>A fee of $500 will be required to offset the costs incurred.</w:t>
      </w:r>
    </w:p>
    <w:p w14:paraId="4068BA40" w14:textId="77777777" w:rsidR="001772AC" w:rsidRPr="008968D3" w:rsidRDefault="001772AC" w:rsidP="001772AC">
      <w:pPr>
        <w:widowControl w:val="0"/>
        <w:spacing w:line="360" w:lineRule="auto"/>
        <w:jc w:val="both"/>
        <w:rPr>
          <w:rFonts w:ascii="Bookman Old Style" w:hAnsi="Bookman Old Style"/>
          <w:caps/>
        </w:rPr>
      </w:pPr>
    </w:p>
    <w:p w14:paraId="0CBE0723" w14:textId="77777777" w:rsidR="001772AC" w:rsidRPr="008968D3" w:rsidRDefault="001772AC" w:rsidP="001772AC">
      <w:pPr>
        <w:widowControl w:val="0"/>
        <w:spacing w:line="360" w:lineRule="auto"/>
        <w:jc w:val="both"/>
        <w:rPr>
          <w:rFonts w:ascii="Bookman Old Style" w:hAnsi="Bookman Old Style"/>
          <w:caps/>
        </w:rPr>
      </w:pPr>
      <w:r w:rsidRPr="008968D3">
        <w:rPr>
          <w:rFonts w:ascii="Bookman Old Style" w:hAnsi="Bookman Old Style"/>
          <w:caps/>
        </w:rPr>
        <w:lastRenderedPageBreak/>
        <w:t xml:space="preserve">SECTION 6. </w:t>
      </w:r>
      <w:r w:rsidRPr="008968D3">
        <w:rPr>
          <w:rFonts w:ascii="Bookman Old Style" w:hAnsi="Bookman Old Style"/>
          <w:caps/>
        </w:rPr>
        <w:tab/>
        <w:t>Exclusions</w:t>
      </w:r>
    </w:p>
    <w:p w14:paraId="7124940B" w14:textId="77777777" w:rsidR="001772AC" w:rsidRPr="008968D3" w:rsidRDefault="001772AC" w:rsidP="001772AC">
      <w:pPr>
        <w:widowControl w:val="0"/>
        <w:spacing w:line="360" w:lineRule="auto"/>
        <w:jc w:val="both"/>
        <w:rPr>
          <w:rFonts w:ascii="Bookman Old Style" w:hAnsi="Bookman Old Style"/>
          <w:b/>
        </w:rPr>
      </w:pPr>
      <w:r w:rsidRPr="008968D3">
        <w:rPr>
          <w:rFonts w:ascii="Bookman Old Style" w:hAnsi="Bookman Old Style"/>
        </w:rPr>
        <w:t xml:space="preserve">Notwithstanding the procedures set forth in Section 1 of this ordinance, the Council shall not designate real estate as an Economic Revitalization Area if any portion of the subject property is located with an "allocation area", as defined in I.C. 36-7-14-39 or I.C. 36-7-15.1-26, unless the Allen County Board of Commissioners has first adopted a resolution consenting to the subject designation. </w:t>
      </w:r>
    </w:p>
    <w:p w14:paraId="23504B08" w14:textId="77777777" w:rsidR="001772AC" w:rsidRPr="008968D3" w:rsidRDefault="001772AC" w:rsidP="001772AC">
      <w:pPr>
        <w:widowControl w:val="0"/>
        <w:spacing w:line="360" w:lineRule="auto"/>
        <w:jc w:val="both"/>
        <w:rPr>
          <w:rFonts w:ascii="Bookman Old Style" w:hAnsi="Bookman Old Style"/>
          <w:caps/>
        </w:rPr>
      </w:pPr>
    </w:p>
    <w:p w14:paraId="5A5B2E13" w14:textId="77777777" w:rsidR="001772AC" w:rsidRPr="008968D3" w:rsidRDefault="001772AC" w:rsidP="001772AC">
      <w:pPr>
        <w:widowControl w:val="0"/>
        <w:spacing w:line="360" w:lineRule="auto"/>
        <w:jc w:val="both"/>
        <w:rPr>
          <w:rFonts w:ascii="Bookman Old Style" w:hAnsi="Bookman Old Style"/>
          <w:caps/>
        </w:rPr>
      </w:pPr>
      <w:r w:rsidRPr="008968D3">
        <w:rPr>
          <w:rFonts w:ascii="Bookman Old Style" w:hAnsi="Bookman Old Style"/>
          <w:caps/>
        </w:rPr>
        <w:t>SECTION 7.</w:t>
      </w:r>
      <w:r w:rsidRPr="008968D3">
        <w:rPr>
          <w:rFonts w:ascii="Bookman Old Style" w:hAnsi="Bookman Old Style"/>
          <w:caps/>
        </w:rPr>
        <w:tab/>
        <w:t>Delegation of Responsibility</w:t>
      </w:r>
    </w:p>
    <w:p w14:paraId="77036345" w14:textId="77777777" w:rsidR="001772AC" w:rsidRPr="008968D3" w:rsidRDefault="001772AC" w:rsidP="001772AC">
      <w:pPr>
        <w:widowControl w:val="0"/>
        <w:spacing w:line="360" w:lineRule="auto"/>
        <w:jc w:val="both"/>
        <w:rPr>
          <w:rFonts w:ascii="Bookman Old Style" w:hAnsi="Bookman Old Style"/>
          <w:highlight w:val="yellow"/>
        </w:rPr>
      </w:pPr>
      <w:r w:rsidRPr="008968D3">
        <w:rPr>
          <w:rFonts w:ascii="Bookman Old Style" w:hAnsi="Bookman Old Style"/>
        </w:rPr>
        <w:t>The Council does hereby designate the Allen County Department of Planning Services economic development division as the administrative agency for processing applications for the designation of Economic Revitalization Areas and undertaking the other actions designated thereto under this ordinance. The economic development division, in conducting its responsibilities under this delegation, may undertake the following actions:</w:t>
      </w:r>
    </w:p>
    <w:p w14:paraId="58043C2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(A)</w:t>
      </w:r>
      <w:r w:rsidRPr="008968D3">
        <w:rPr>
          <w:rFonts w:ascii="Bookman Old Style" w:hAnsi="Bookman Old Style"/>
        </w:rPr>
        <w:tab/>
        <w:t>keep abreast of changes in the state enabling legislation and communicate changes to members of the Council;</w:t>
      </w:r>
    </w:p>
    <w:p w14:paraId="3583DE1C"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(B)</w:t>
      </w:r>
      <w:r w:rsidRPr="008968D3">
        <w:rPr>
          <w:rFonts w:ascii="Bookman Old Style" w:hAnsi="Bookman Old Style"/>
        </w:rPr>
        <w:tab/>
        <w:t>develop and implement procedures to address changes in the state enabling legislation;</w:t>
      </w:r>
    </w:p>
    <w:p w14:paraId="1EECB862"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(C)</w:t>
      </w:r>
      <w:r w:rsidRPr="008968D3">
        <w:rPr>
          <w:rFonts w:ascii="Bookman Old Style" w:hAnsi="Bookman Old Style"/>
        </w:rPr>
        <w:tab/>
        <w:t>maintain an appropriate application form that is consistent with state law and Council procedures;</w:t>
      </w:r>
    </w:p>
    <w:p w14:paraId="7A6A43C4"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(D)</w:t>
      </w:r>
      <w:r w:rsidRPr="008968D3">
        <w:rPr>
          <w:rFonts w:ascii="Bookman Old Style" w:hAnsi="Bookman Old Style"/>
        </w:rPr>
        <w:tab/>
        <w:t xml:space="preserve">accept applications for designation and collect the required filing fee to be collected pursuant to this ordinance; </w:t>
      </w:r>
    </w:p>
    <w:p w14:paraId="59B6B0EF"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(E)</w:t>
      </w:r>
      <w:r w:rsidRPr="008968D3">
        <w:rPr>
          <w:rFonts w:ascii="Bookman Old Style" w:hAnsi="Bookman Old Style"/>
        </w:rPr>
        <w:tab/>
        <w:t>review said applications for completeness and provide Council with supporting data necessary to properly consider such requests;</w:t>
      </w:r>
    </w:p>
    <w:p w14:paraId="50AEAF0B"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(F)</w:t>
      </w:r>
      <w:r w:rsidRPr="008968D3">
        <w:rPr>
          <w:rFonts w:ascii="Bookman Old Style" w:hAnsi="Bookman Old Style"/>
        </w:rPr>
        <w:tab/>
        <w:t>establish guidelines to evaluate applications in order to determine the length of the abatement period;</w:t>
      </w:r>
    </w:p>
    <w:p w14:paraId="587E1A40"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(G)</w:t>
      </w:r>
      <w:r w:rsidRPr="008968D3">
        <w:rPr>
          <w:rFonts w:ascii="Bookman Old Style" w:hAnsi="Bookman Old Style"/>
        </w:rPr>
        <w:tab/>
        <w:t xml:space="preserve">prepare public review files required by I.C. 6-1.1-12.1-2.5(c); </w:t>
      </w:r>
    </w:p>
    <w:p w14:paraId="78C2009C"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lastRenderedPageBreak/>
        <w:t>(H)</w:t>
      </w:r>
      <w:r w:rsidRPr="008968D3">
        <w:rPr>
          <w:rFonts w:ascii="Bookman Old Style" w:hAnsi="Bookman Old Style"/>
        </w:rPr>
        <w:tab/>
        <w:t xml:space="preserve">prepare and cause to be published legal notice of the Council’s consideration of said application as required in I.C. 6-1.1-12.1-2.5(c) and I.C. 5-3-1; </w:t>
      </w:r>
    </w:p>
    <w:p w14:paraId="459E481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(I)</w:t>
      </w:r>
      <w:r w:rsidRPr="008968D3">
        <w:rPr>
          <w:rFonts w:ascii="Bookman Old Style" w:hAnsi="Bookman Old Style"/>
        </w:rPr>
        <w:tab/>
        <w:t>prepare draft declaratory and confirmatory resolutions for the Council’s review and consideration;</w:t>
      </w:r>
    </w:p>
    <w:p w14:paraId="643FCDDA"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(J)</w:t>
      </w:r>
      <w:r w:rsidRPr="008968D3">
        <w:rPr>
          <w:rFonts w:ascii="Bookman Old Style" w:hAnsi="Bookman Old Style"/>
        </w:rPr>
        <w:tab/>
        <w:t xml:space="preserve">keep records of all properly filed applications and duly designated Economic Revitalization </w:t>
      </w:r>
      <w:proofErr w:type="gramStart"/>
      <w:r w:rsidRPr="008968D3">
        <w:rPr>
          <w:rFonts w:ascii="Bookman Old Style" w:hAnsi="Bookman Old Style"/>
        </w:rPr>
        <w:t>Areas;;</w:t>
      </w:r>
      <w:proofErr w:type="gramEnd"/>
    </w:p>
    <w:p w14:paraId="7EC912F0"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(K)</w:t>
      </w:r>
      <w:r w:rsidRPr="008968D3">
        <w:rPr>
          <w:rFonts w:ascii="Bookman Old Style" w:hAnsi="Bookman Old Style"/>
        </w:rPr>
        <w:tab/>
        <w:t>act on behalf of the Council in corresponding with the applicant/taxpayer(s) and other interested persons regarding the status of an application;</w:t>
      </w:r>
    </w:p>
    <w:p w14:paraId="02E86CDD"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(L)</w:t>
      </w:r>
      <w:r w:rsidRPr="008968D3">
        <w:rPr>
          <w:rFonts w:ascii="Bookman Old Style" w:hAnsi="Bookman Old Style"/>
        </w:rPr>
        <w:tab/>
        <w:t xml:space="preserve">prepare and provide the Allen County Auditor with a final designation packet which shall include information necessary for the review of applications for deduction pursuant to I.C. 6-1.1-12.1-5, I.C. 6-1.1-12.1-5.3, </w:t>
      </w:r>
      <w:proofErr w:type="gramStart"/>
      <w:r w:rsidRPr="008968D3">
        <w:rPr>
          <w:rFonts w:ascii="Bookman Old Style" w:hAnsi="Bookman Old Style"/>
        </w:rPr>
        <w:t>and  I.C.</w:t>
      </w:r>
      <w:proofErr w:type="gramEnd"/>
      <w:r w:rsidRPr="008968D3">
        <w:rPr>
          <w:rFonts w:ascii="Bookman Old Style" w:hAnsi="Bookman Old Style"/>
        </w:rPr>
        <w:t xml:space="preserve"> 6-1.1-12.1-5.4</w:t>
      </w:r>
    </w:p>
    <w:p w14:paraId="29A50E83" w14:textId="77777777" w:rsidR="001772AC" w:rsidRPr="008968D3" w:rsidRDefault="001772AC" w:rsidP="001772AC">
      <w:pPr>
        <w:widowControl w:val="0"/>
        <w:spacing w:line="360" w:lineRule="auto"/>
        <w:jc w:val="both"/>
        <w:rPr>
          <w:rFonts w:ascii="Bookman Old Style" w:hAnsi="Bookman Old Style"/>
        </w:rPr>
      </w:pPr>
      <w:r w:rsidRPr="008968D3">
        <w:rPr>
          <w:rFonts w:ascii="Bookman Old Style" w:hAnsi="Bookman Old Style"/>
        </w:rPr>
        <w:t>(M)</w:t>
      </w:r>
      <w:r w:rsidRPr="008968D3">
        <w:rPr>
          <w:rFonts w:ascii="Bookman Old Style" w:hAnsi="Bookman Old Style"/>
        </w:rPr>
        <w:tab/>
        <w:t>evaluate annual reports (CF-1 forms) submitted by applicants/taxpayers under Section 4 of this ordinance and provide a report to the Council within forty-five (45) days summarizing compliance of reporting companies;</w:t>
      </w:r>
    </w:p>
    <w:p w14:paraId="3C2A8239" w14:textId="77777777" w:rsidR="001772AC" w:rsidRDefault="001772AC" w:rsidP="001772AC">
      <w:pPr>
        <w:autoSpaceDE w:val="0"/>
        <w:autoSpaceDN w:val="0"/>
        <w:adjustRightInd w:val="0"/>
        <w:spacing w:line="360" w:lineRule="auto"/>
        <w:jc w:val="both"/>
        <w:rPr>
          <w:rFonts w:ascii="Bookman Old Style" w:hAnsi="Bookman Old Style"/>
        </w:rPr>
      </w:pPr>
    </w:p>
    <w:p w14:paraId="75024AEF" w14:textId="6875B0F8" w:rsidR="00451204" w:rsidRPr="008968D3" w:rsidRDefault="001772AC" w:rsidP="001772AC">
      <w:pPr>
        <w:rPr>
          <w:rFonts w:ascii="Bookman Old Style" w:hAnsi="Bookman Old Style"/>
        </w:rPr>
      </w:pPr>
      <w:r w:rsidRPr="008968D3">
        <w:rPr>
          <w:rFonts w:ascii="Bookman Old Style" w:hAnsi="Bookman Old Style"/>
        </w:rPr>
        <w:t xml:space="preserve">Adopted and Resolved this </w:t>
      </w:r>
      <w:r w:rsidR="00595527">
        <w:rPr>
          <w:rFonts w:ascii="Bookman Old Style" w:hAnsi="Bookman Old Style"/>
        </w:rPr>
        <w:t>3rd</w:t>
      </w:r>
      <w:r w:rsidRPr="008968D3">
        <w:rPr>
          <w:rFonts w:ascii="Bookman Old Style" w:hAnsi="Bookman Old Style"/>
        </w:rPr>
        <w:t xml:space="preserve"> day of </w:t>
      </w:r>
      <w:proofErr w:type="gramStart"/>
      <w:r w:rsidR="00595527">
        <w:rPr>
          <w:rFonts w:ascii="Bookman Old Style" w:hAnsi="Bookman Old Style"/>
        </w:rPr>
        <w:t>September</w:t>
      </w:r>
      <w:r w:rsidRPr="008968D3">
        <w:rPr>
          <w:rFonts w:ascii="Bookman Old Style" w:hAnsi="Bookman Old Style"/>
        </w:rPr>
        <w:t>,</w:t>
      </w:r>
      <w:proofErr w:type="gramEnd"/>
      <w:r w:rsidRPr="008968D3">
        <w:rPr>
          <w:rFonts w:ascii="Bookman Old Style" w:hAnsi="Bookman Old Style"/>
        </w:rPr>
        <w:t xml:space="preserve"> 2019.</w:t>
      </w:r>
    </w:p>
    <w:p w14:paraId="24209831"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4409C759"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7437EE2E" w14:textId="51B81969"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1EB3B720" w14:textId="6F850244" w:rsidR="00451204" w:rsidRDefault="00451204"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5CB4DB05" w14:textId="21433373" w:rsidR="00451204" w:rsidRDefault="00451204"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A197415" w14:textId="2D871109" w:rsidR="00451204" w:rsidRDefault="00451204"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31A56415" w14:textId="77777777" w:rsidR="00451204" w:rsidRDefault="00451204"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7DC86408"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586F4C17"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7DFC1F5B" w14:textId="77777777" w:rsidR="00451204" w:rsidRPr="00B10E2A" w:rsidRDefault="00451204" w:rsidP="00451204">
      <w:pPr>
        <w:jc w:val="center"/>
        <w:rPr>
          <w:rFonts w:ascii="Bookman Old Style" w:hAnsi="Bookman Old Style"/>
          <w:b/>
        </w:rPr>
      </w:pPr>
      <w:r w:rsidRPr="00B10E2A">
        <w:rPr>
          <w:rFonts w:ascii="Bookman Old Style" w:hAnsi="Bookman Old Style"/>
          <w:b/>
        </w:rPr>
        <w:t>&lt; SIGNATURES ON NEXT PAGE &gt;</w:t>
      </w:r>
    </w:p>
    <w:p w14:paraId="2CC6154F"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9447AB8"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6EA96B50"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704201F9"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110287F9" w14:textId="77777777" w:rsidR="001772AC" w:rsidRDefault="001772AC"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58A767A1" w14:textId="77777777" w:rsidR="00036057" w:rsidRPr="00C250CB" w:rsidRDefault="00036057" w:rsidP="00036057">
      <w:pPr>
        <w:spacing w:after="0" w:line="240" w:lineRule="auto"/>
        <w:jc w:val="both"/>
        <w:rPr>
          <w:rFonts w:ascii="Times New Roman" w:eastAsia="Times New Roman" w:hAnsi="Times New Roman" w:cs="Times New Roman"/>
          <w:bCs/>
          <w:sz w:val="24"/>
          <w:szCs w:val="24"/>
        </w:rPr>
      </w:pPr>
    </w:p>
    <w:p w14:paraId="293F6375" w14:textId="48A338B9" w:rsidR="00036057" w:rsidRPr="00B21238" w:rsidRDefault="00036057" w:rsidP="00036057">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lastRenderedPageBreak/>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7FD73C6B" w14:textId="4F50BAB4" w:rsidR="00036057" w:rsidRDefault="00036057" w:rsidP="00036057">
      <w:pPr>
        <w:spacing w:after="0" w:line="240" w:lineRule="auto"/>
        <w:rPr>
          <w:rFonts w:ascii="Times New Roman" w:eastAsia="Times New Roman" w:hAnsi="Times New Roman" w:cs="Times New Roman"/>
          <w:b/>
          <w:sz w:val="24"/>
          <w:szCs w:val="24"/>
        </w:rPr>
      </w:pPr>
    </w:p>
    <w:p w14:paraId="67176753" w14:textId="77777777" w:rsidR="00577670" w:rsidRPr="00C250CB" w:rsidRDefault="00577670" w:rsidP="00036057">
      <w:pPr>
        <w:spacing w:after="0" w:line="240" w:lineRule="auto"/>
        <w:rPr>
          <w:rFonts w:ascii="Times New Roman" w:eastAsia="Times New Roman" w:hAnsi="Times New Roman" w:cs="Times New Roman"/>
          <w:b/>
          <w:sz w:val="24"/>
          <w:szCs w:val="24"/>
        </w:rPr>
      </w:pPr>
    </w:p>
    <w:p w14:paraId="7F35C88F" w14:textId="77777777"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14:paraId="4D5C012C" w14:textId="77777777"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14:paraId="5DA5CC20"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3C94CAF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14:paraId="333BD37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192CD66D"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82AC4AC"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BC7F9B6"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14:paraId="51C3A54A"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9A8F07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11E8E67"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C49D897"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14:paraId="4806E429"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B6BC16D"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7FE845D7"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0CCC41BE"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14:paraId="1302DA96"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F8867AF"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EFE9172"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671E9967"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14:paraId="1BF00034"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1448110" w14:textId="07E3D67D" w:rsidR="00036057"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AA82C23" w14:textId="30B2136E" w:rsidR="00577670" w:rsidRDefault="00577670"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3AA03F33" w14:textId="30A55202" w:rsidR="00577670" w:rsidRDefault="00577670"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147DF55" w14:textId="77777777" w:rsidR="00577670" w:rsidRPr="009D1275" w:rsidRDefault="00577670"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1C18292B"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65F00EBE" w14:textId="4D4F9A18" w:rsidR="00036057"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01D758E0" w14:textId="77777777" w:rsidR="00577670" w:rsidRPr="009D1275" w:rsidRDefault="00577670"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5726ABC"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517594B9"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26D762A9"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2FF0C4FD" w14:textId="3D7927CC" w:rsidR="00036057"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6BF88D35" w14:textId="394E21C4" w:rsidR="00577670" w:rsidRDefault="00577670"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05722B42" w14:textId="77777777" w:rsidR="00577670" w:rsidRPr="009D1275" w:rsidRDefault="00577670"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42C1DE59"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227BDE44"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050A99B1"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02B6DD9E" w14:textId="77777777"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14:paraId="3C60A05C" w14:textId="77777777" w:rsidR="00036057" w:rsidRPr="009D1275" w:rsidRDefault="00036057" w:rsidP="00036057">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61F4B879" w14:textId="77777777" w:rsidR="00347E80" w:rsidRPr="00E672EE" w:rsidRDefault="00036057" w:rsidP="00036057">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4EE9" w14:textId="77777777" w:rsidR="00B9024E" w:rsidRDefault="00B9024E" w:rsidP="009D1275">
      <w:pPr>
        <w:spacing w:after="0" w:line="240" w:lineRule="auto"/>
      </w:pPr>
      <w:r>
        <w:separator/>
      </w:r>
    </w:p>
  </w:endnote>
  <w:endnote w:type="continuationSeparator" w:id="0">
    <w:p w14:paraId="4172AA1B" w14:textId="77777777" w:rsidR="00B9024E" w:rsidRDefault="00B9024E"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06EF" w14:textId="77777777" w:rsidR="00B9024E" w:rsidRDefault="0063605E"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19-137</w:t>
    </w:r>
    <w:r w:rsidR="00726DBC">
      <w:rPr>
        <w:noProof/>
        <w:color w:val="404040" w:themeColor="text1" w:themeTint="BF"/>
      </w:rPr>
      <w:t>3</w:t>
    </w:r>
    <w:r w:rsidR="00B9024E">
      <w:rPr>
        <w:noProof/>
        <w:color w:val="404040" w:themeColor="text1" w:themeTint="BF"/>
      </w:rPr>
      <w:tab/>
    </w:r>
    <w:r w:rsidR="00B9024E">
      <w:rPr>
        <w:noProof/>
        <w:color w:val="404040" w:themeColor="text1" w:themeTint="BF"/>
      </w:rPr>
      <w:fldChar w:fldCharType="begin"/>
    </w:r>
    <w:r w:rsidR="00B9024E">
      <w:rPr>
        <w:noProof/>
        <w:color w:val="404040" w:themeColor="text1" w:themeTint="BF"/>
      </w:rPr>
      <w:instrText xml:space="preserve"> PAGE   \* MERGEFORMAT </w:instrText>
    </w:r>
    <w:r w:rsidR="00B9024E">
      <w:rPr>
        <w:noProof/>
        <w:color w:val="404040" w:themeColor="text1" w:themeTint="BF"/>
      </w:rPr>
      <w:fldChar w:fldCharType="separate"/>
    </w:r>
    <w:r w:rsidR="009047CA">
      <w:rPr>
        <w:noProof/>
        <w:color w:val="404040" w:themeColor="text1" w:themeTint="BF"/>
      </w:rPr>
      <w:t>2</w:t>
    </w:r>
    <w:r w:rsidR="00B9024E">
      <w:rPr>
        <w:noProof/>
        <w:color w:val="404040" w:themeColor="text1" w:themeTint="BF"/>
      </w:rPr>
      <w:fldChar w:fldCharType="end"/>
    </w:r>
  </w:p>
  <w:p w14:paraId="735DE2A0" w14:textId="77777777" w:rsidR="00B9024E" w:rsidRDefault="00B9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2CB9" w14:textId="77777777" w:rsidR="00B9024E" w:rsidRDefault="00B9024E" w:rsidP="009D1275">
      <w:pPr>
        <w:spacing w:after="0" w:line="240" w:lineRule="auto"/>
      </w:pPr>
      <w:r>
        <w:separator/>
      </w:r>
    </w:p>
  </w:footnote>
  <w:footnote w:type="continuationSeparator" w:id="0">
    <w:p w14:paraId="322A1A08" w14:textId="77777777" w:rsidR="00B9024E" w:rsidRDefault="00B9024E"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3F7"/>
    <w:multiLevelType w:val="hybridMultilevel"/>
    <w:tmpl w:val="6590CA02"/>
    <w:lvl w:ilvl="0" w:tplc="E05A9652">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AB44039"/>
    <w:multiLevelType w:val="hybridMultilevel"/>
    <w:tmpl w:val="14427416"/>
    <w:lvl w:ilvl="0" w:tplc="5DDC4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00382"/>
    <w:multiLevelType w:val="hybridMultilevel"/>
    <w:tmpl w:val="13E209EA"/>
    <w:lvl w:ilvl="0" w:tplc="794E0BE8">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24F1763F"/>
    <w:multiLevelType w:val="hybridMultilevel"/>
    <w:tmpl w:val="AB404BC8"/>
    <w:lvl w:ilvl="0" w:tplc="C12AFF3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6A74D1"/>
    <w:multiLevelType w:val="hybridMultilevel"/>
    <w:tmpl w:val="681EAC34"/>
    <w:lvl w:ilvl="0" w:tplc="8DAA1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3038A9"/>
    <w:multiLevelType w:val="hybridMultilevel"/>
    <w:tmpl w:val="C61A5A12"/>
    <w:lvl w:ilvl="0" w:tplc="F106F5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6A85CA6"/>
    <w:multiLevelType w:val="hybridMultilevel"/>
    <w:tmpl w:val="B964EAFA"/>
    <w:lvl w:ilvl="0" w:tplc="E6444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76CC5"/>
    <w:multiLevelType w:val="hybridMultilevel"/>
    <w:tmpl w:val="423EBDAC"/>
    <w:lvl w:ilvl="0" w:tplc="07F45D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B680063"/>
    <w:multiLevelType w:val="hybridMultilevel"/>
    <w:tmpl w:val="C9B0217C"/>
    <w:lvl w:ilvl="0" w:tplc="8F088B1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5B44CD"/>
    <w:multiLevelType w:val="hybridMultilevel"/>
    <w:tmpl w:val="D8BC47B8"/>
    <w:lvl w:ilvl="0" w:tplc="53B6D75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57DC8"/>
    <w:multiLevelType w:val="hybridMultilevel"/>
    <w:tmpl w:val="D65C225C"/>
    <w:lvl w:ilvl="0" w:tplc="322072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B3E7B"/>
    <w:multiLevelType w:val="hybridMultilevel"/>
    <w:tmpl w:val="F448027C"/>
    <w:lvl w:ilvl="0" w:tplc="3D683656">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6648E1"/>
    <w:multiLevelType w:val="hybridMultilevel"/>
    <w:tmpl w:val="CC4653C4"/>
    <w:lvl w:ilvl="0" w:tplc="3EAE13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
  </w:num>
  <w:num w:numId="3">
    <w:abstractNumId w:val="3"/>
  </w:num>
  <w:num w:numId="4">
    <w:abstractNumId w:val="5"/>
  </w:num>
  <w:num w:numId="5">
    <w:abstractNumId w:val="13"/>
  </w:num>
  <w:num w:numId="6">
    <w:abstractNumId w:val="4"/>
  </w:num>
  <w:num w:numId="7">
    <w:abstractNumId w:val="10"/>
  </w:num>
  <w:num w:numId="8">
    <w:abstractNumId w:val="0"/>
  </w:num>
  <w:num w:numId="9">
    <w:abstractNumId w:val="6"/>
  </w:num>
  <w:num w:numId="10">
    <w:abstractNumId w:val="9"/>
  </w:num>
  <w:num w:numId="11">
    <w:abstractNumId w:val="1"/>
  </w:num>
  <w:num w:numId="12">
    <w:abstractNumId w:val="14"/>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36057"/>
    <w:rsid w:val="00062B64"/>
    <w:rsid w:val="000706EC"/>
    <w:rsid w:val="00092624"/>
    <w:rsid w:val="00111502"/>
    <w:rsid w:val="00122716"/>
    <w:rsid w:val="00130362"/>
    <w:rsid w:val="00146740"/>
    <w:rsid w:val="001604D2"/>
    <w:rsid w:val="001772AC"/>
    <w:rsid w:val="00212BCA"/>
    <w:rsid w:val="002A7514"/>
    <w:rsid w:val="002F7536"/>
    <w:rsid w:val="00337D73"/>
    <w:rsid w:val="00345772"/>
    <w:rsid w:val="00347E80"/>
    <w:rsid w:val="003851AB"/>
    <w:rsid w:val="003961FC"/>
    <w:rsid w:val="00396B36"/>
    <w:rsid w:val="003A130F"/>
    <w:rsid w:val="00451204"/>
    <w:rsid w:val="004820C2"/>
    <w:rsid w:val="00492C5F"/>
    <w:rsid w:val="0049436E"/>
    <w:rsid w:val="004B79A8"/>
    <w:rsid w:val="005101AA"/>
    <w:rsid w:val="00524289"/>
    <w:rsid w:val="0056224F"/>
    <w:rsid w:val="00567FE7"/>
    <w:rsid w:val="00577670"/>
    <w:rsid w:val="00595527"/>
    <w:rsid w:val="005B2ACA"/>
    <w:rsid w:val="005F5872"/>
    <w:rsid w:val="006128B2"/>
    <w:rsid w:val="00615756"/>
    <w:rsid w:val="00633576"/>
    <w:rsid w:val="0063605E"/>
    <w:rsid w:val="0064190C"/>
    <w:rsid w:val="00647565"/>
    <w:rsid w:val="00657612"/>
    <w:rsid w:val="0066795B"/>
    <w:rsid w:val="00690782"/>
    <w:rsid w:val="00722901"/>
    <w:rsid w:val="00726DBC"/>
    <w:rsid w:val="007822DF"/>
    <w:rsid w:val="007D4B70"/>
    <w:rsid w:val="007D74E7"/>
    <w:rsid w:val="007E7B16"/>
    <w:rsid w:val="00822921"/>
    <w:rsid w:val="00847705"/>
    <w:rsid w:val="00886C21"/>
    <w:rsid w:val="008A5481"/>
    <w:rsid w:val="008B4622"/>
    <w:rsid w:val="008E3C0E"/>
    <w:rsid w:val="009047CA"/>
    <w:rsid w:val="009A4430"/>
    <w:rsid w:val="009A5710"/>
    <w:rsid w:val="009B1917"/>
    <w:rsid w:val="009D1275"/>
    <w:rsid w:val="009F3815"/>
    <w:rsid w:val="00A0617C"/>
    <w:rsid w:val="00A06CC0"/>
    <w:rsid w:val="00A44C16"/>
    <w:rsid w:val="00A47FCE"/>
    <w:rsid w:val="00B05647"/>
    <w:rsid w:val="00B10E2A"/>
    <w:rsid w:val="00B267A7"/>
    <w:rsid w:val="00B6068F"/>
    <w:rsid w:val="00B9024E"/>
    <w:rsid w:val="00BB0405"/>
    <w:rsid w:val="00BC4CC3"/>
    <w:rsid w:val="00C20FFC"/>
    <w:rsid w:val="00C40AD7"/>
    <w:rsid w:val="00C64FA0"/>
    <w:rsid w:val="00CC6B3F"/>
    <w:rsid w:val="00CD2BB2"/>
    <w:rsid w:val="00CD70E0"/>
    <w:rsid w:val="00D24F09"/>
    <w:rsid w:val="00D346A9"/>
    <w:rsid w:val="00D87A2A"/>
    <w:rsid w:val="00E6533E"/>
    <w:rsid w:val="00E672EE"/>
    <w:rsid w:val="00E87B43"/>
    <w:rsid w:val="00EB7B82"/>
    <w:rsid w:val="00F22513"/>
    <w:rsid w:val="00FD09AF"/>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12C9"/>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 w:type="character" w:styleId="Hyperlink">
    <w:name w:val="Hyperlink"/>
    <w:basedOn w:val="DefaultParagraphFont"/>
    <w:uiPriority w:val="99"/>
    <w:semiHidden/>
    <w:unhideWhenUsed/>
    <w:rsid w:val="00396B36"/>
    <w:rPr>
      <w:color w:val="0563C1"/>
      <w:u w:val="single"/>
    </w:rPr>
  </w:style>
  <w:style w:type="character" w:styleId="CommentReference">
    <w:name w:val="annotation reference"/>
    <w:semiHidden/>
    <w:rsid w:val="00726DBC"/>
    <w:rPr>
      <w:sz w:val="16"/>
      <w:szCs w:val="16"/>
    </w:rPr>
  </w:style>
  <w:style w:type="paragraph" w:styleId="CommentText">
    <w:name w:val="annotation text"/>
    <w:basedOn w:val="Normal"/>
    <w:link w:val="CommentTextChar"/>
    <w:semiHidden/>
    <w:rsid w:val="00726D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26DB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272855782">
      <w:bodyDiv w:val="1"/>
      <w:marLeft w:val="0"/>
      <w:marRight w:val="0"/>
      <w:marTop w:val="0"/>
      <w:marBottom w:val="0"/>
      <w:divBdr>
        <w:top w:val="none" w:sz="0" w:space="0" w:color="auto"/>
        <w:left w:val="none" w:sz="0" w:space="0" w:color="auto"/>
        <w:bottom w:val="none" w:sz="0" w:space="0" w:color="auto"/>
        <w:right w:val="none" w:sz="0" w:space="0" w:color="auto"/>
      </w:divBdr>
    </w:div>
    <w:div w:id="133591076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5297</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7</cp:revision>
  <cp:lastPrinted>2016-10-17T13:52:00Z</cp:lastPrinted>
  <dcterms:created xsi:type="dcterms:W3CDTF">2019-07-11T15:20:00Z</dcterms:created>
  <dcterms:modified xsi:type="dcterms:W3CDTF">2019-09-05T18:58:00Z</dcterms:modified>
</cp:coreProperties>
</file>